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1054" w:rsidRPr="00D8320A" w:rsidRDefault="002E29C1">
      <w:pPr>
        <w:autoSpaceDE/>
        <w:autoSpaceDN/>
        <w:adjustRightInd/>
        <w:spacing w:after="0"/>
        <w:jc w:val="left"/>
        <w:sectPr w:rsidR="00641054" w:rsidRPr="00D8320A" w:rsidSect="00641054">
          <w:headerReference w:type="default" r:id="rId8"/>
          <w:headerReference w:type="first" r:id="rId9"/>
          <w:pgSz w:w="11900" w:h="16840" w:code="9"/>
          <w:pgMar w:top="720" w:right="720" w:bottom="720" w:left="720" w:header="709" w:footer="709" w:gutter="0"/>
          <w:cols w:space="292"/>
          <w:titlePg/>
          <w:docGrid w:linePitch="326"/>
        </w:sectPr>
      </w:pPr>
      <w:r>
        <w:rPr>
          <w:noProof/>
          <w:lang w:eastAsia="en-GB"/>
        </w:rPr>
        <mc:AlternateContent>
          <mc:Choice Requires="wps">
            <w:drawing>
              <wp:anchor distT="45720" distB="45720" distL="114300" distR="114300" simplePos="0" relativeHeight="251660288" behindDoc="0" locked="0" layoutInCell="1" allowOverlap="1">
                <wp:simplePos x="0" y="0"/>
                <wp:positionH relativeFrom="column">
                  <wp:posOffset>5133975</wp:posOffset>
                </wp:positionH>
                <wp:positionV relativeFrom="paragraph">
                  <wp:posOffset>17780</wp:posOffset>
                </wp:positionV>
                <wp:extent cx="1276350" cy="1404620"/>
                <wp:effectExtent l="0" t="0" r="1905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404620"/>
                        </a:xfrm>
                        <a:prstGeom prst="rect">
                          <a:avLst/>
                        </a:prstGeom>
                        <a:solidFill>
                          <a:srgbClr val="FFFFFF"/>
                        </a:solidFill>
                        <a:ln w="9525">
                          <a:solidFill>
                            <a:srgbClr val="000000"/>
                          </a:solidFill>
                          <a:miter lim="800000"/>
                          <a:headEnd/>
                          <a:tailEnd/>
                        </a:ln>
                      </wps:spPr>
                      <wps:txbx>
                        <w:txbxContent>
                          <w:p w:rsidR="002E29C1" w:rsidRPr="002E29C1" w:rsidRDefault="002E29C1" w:rsidP="002E29C1">
                            <w:pPr>
                              <w:jc w:val="center"/>
                              <w:rPr>
                                <w:b/>
                              </w:rPr>
                            </w:pPr>
                            <w:r w:rsidRPr="002E29C1">
                              <w:rPr>
                                <w:b/>
                              </w:rPr>
                              <w:t xml:space="preserve">Appendix </w:t>
                            </w:r>
                            <w:r w:rsidR="00AC7EBD">
                              <w:rPr>
                                <w:b/>
                              </w:rPr>
                              <w:t>1</w:t>
                            </w:r>
                            <w:bookmarkStart w:id="0" w:name="_GoBack"/>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04.25pt;margin-top:1.4pt;width:100.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">
                <v:textbox style="mso-fit-shape-to-text:t">
                  <w:txbxContent>
                    <w:p w:rsidR="002E29C1" w:rsidRPr="002E29C1" w:rsidRDefault="002E29C1" w:rsidP="002E29C1">
                      <w:pPr>
                        <w:jc w:val="center"/>
                        <w:rPr>
                          <w:b/>
                        </w:rPr>
                      </w:pPr>
                      <w:r w:rsidRPr="002E29C1">
                        <w:rPr>
                          <w:b/>
                        </w:rPr>
                        <w:t xml:space="preserve">Appendix </w:t>
                      </w:r>
                      <w:r w:rsidR="00AC7EBD">
                        <w:rPr>
                          <w:b/>
                        </w:rPr>
                        <w:t>1</w:t>
                      </w:r>
                      <w:bookmarkStart w:id="1" w:name="_GoBack"/>
                      <w:bookmarkEnd w:id="1"/>
                    </w:p>
                  </w:txbxContent>
                </v:textbox>
                <w10:wrap type="square"/>
              </v:shape>
            </w:pict>
          </mc:Fallback>
        </mc:AlternateContent>
      </w:r>
      <w:r w:rsidRPr="00D8320A">
        <w:rPr>
          <w:noProof/>
          <w:lang w:eastAsia="en-GB"/>
        </w:rPr>
        <mc:AlternateContent>
          <mc:Choice Requires="wps">
            <w:drawing>
              <wp:anchor distT="0" distB="0" distL="114300" distR="114300" simplePos="0" relativeHeight="251658240" behindDoc="0" locked="0" layoutInCell="1" allowOverlap="1">
                <wp:simplePos x="0" y="0"/>
                <wp:positionH relativeFrom="column">
                  <wp:posOffset>219694</wp:posOffset>
                </wp:positionH>
                <wp:positionV relativeFrom="paragraph">
                  <wp:posOffset>6039312</wp:posOffset>
                </wp:positionV>
                <wp:extent cx="5866410" cy="177165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410" cy="177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AC6" w:rsidRDefault="002E29C1" w:rsidP="00DC33CB">
                            <w:pPr>
                              <w:pStyle w:val="Title"/>
                              <w:spacing w:after="0"/>
                              <w:rPr>
                                <w:b/>
                                <w:color w:val="000000"/>
                              </w:rPr>
                            </w:pPr>
                            <w:r>
                              <w:rPr>
                                <w:b/>
                                <w:color w:val="000000"/>
                              </w:rPr>
                              <w:t>Lancashire DToC Aug-18</w:t>
                            </w:r>
                          </w:p>
                          <w:p w:rsidR="00F47AC6" w:rsidRDefault="00AC7EBD" w:rsidP="00F30BDA"/>
                          <w:p w:rsidR="00F47AC6" w:rsidRPr="00F30BDA" w:rsidRDefault="002E29C1" w:rsidP="00F30BDA">
                            <w:pPr>
                              <w:rPr>
                                <w:b/>
                                <w:sz w:val="40"/>
                                <w:szCs w:val="40"/>
                              </w:rPr>
                            </w:pPr>
                            <w:r>
                              <w:rPr>
                                <w:b/>
                                <w:sz w:val="40"/>
                                <w:szCs w:val="40"/>
                              </w:rPr>
                              <w:t>Delayed Transfers of Care (DToC) Analysis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5" type="#_x0000_t202" style="width:461.9pt;height:139.5pt;margin-top:475.55pt;margin-left:17.3pt;mso-height-percent:0;mso-height-relative:page;mso-width-percent:0;mso-width-relative:page;mso-wrap-distance-bottom:0;mso-wrap-distance-left:9pt;mso-wrap-distance-right:9pt;mso-wrap-distance-top:0;mso-wrap-style:square;position:absolute;visibility:visible;v-text-anchor:top;z-index:251659264" filled="f" stroked="f">
                <v:textbox>
                  <w:txbxContent>
                    <w:p w:rsidR="00F47AC6" w:rsidP="00DC33CB">
                      <w:pPr>
                        <w:pStyle w:val="Title"/>
                        <w:spacing w:after="0"/>
                        <w:rPr>
                          <w:b/>
                          <w:color w:val="000000"/>
                        </w:rPr>
                      </w:pPr>
                      <w:r>
                        <w:rPr>
                          <w:b/>
                          <w:color w:val="000000"/>
                        </w:rPr>
                        <w:t>Lancashire DToC Aug-18</w:t>
                      </w:r>
                    </w:p>
                    <w:p w:rsidR="00F47AC6" w:rsidP="00F30BDA"/>
                    <w:p w:rsidR="00F47AC6" w:rsidRPr="00F30BDA" w:rsidP="00F30BDA">
                      <w:pPr>
                        <w:rPr>
                          <w:b/>
                          <w:sz w:val="40"/>
                          <w:szCs w:val="40"/>
                        </w:rPr>
                      </w:pPr>
                      <w:r>
                        <w:rPr>
                          <w:b/>
                          <w:sz w:val="40"/>
                          <w:szCs w:val="40"/>
                        </w:rPr>
                        <w:t>Delayed Transfers of Care (DToC) Analysis</w:t>
                      </w:r>
                    </w:p>
                  </w:txbxContent>
                </v:textbox>
              </v:shape>
            </w:pict>
          </mc:Fallback>
        </mc:AlternateContent>
      </w:r>
    </w:p>
    <w:p w:rsidR="001F3465" w:rsidRPr="00D8320A" w:rsidRDefault="002E29C1" w:rsidP="00DA4222">
      <w:pPr>
        <w:rPr>
          <w:rFonts w:cs="Arial"/>
          <w:b/>
          <w:sz w:val="32"/>
          <w:szCs w:val="32"/>
        </w:rPr>
      </w:pPr>
      <w:bookmarkStart w:id="2" w:name="_Toc304199307"/>
      <w:r w:rsidRPr="00D8320A">
        <w:rPr>
          <w:rFonts w:cs="Arial"/>
          <w:b/>
          <w:sz w:val="32"/>
          <w:szCs w:val="32"/>
        </w:rPr>
        <w:lastRenderedPageBreak/>
        <w:t>Data Sources Used in this Report</w:t>
      </w:r>
    </w:p>
    <w:p w:rsidR="006960C9" w:rsidRPr="00D8320A" w:rsidRDefault="002E29C1" w:rsidP="00DA4222">
      <w:pPr>
        <w:rPr>
          <w:rFonts w:cs="Arial"/>
          <w:b/>
          <w:szCs w:val="30"/>
        </w:rPr>
      </w:pPr>
      <w:r w:rsidRPr="00D8320A">
        <w:rPr>
          <w:rFonts w:cs="Arial"/>
          <w:b/>
          <w:szCs w:val="30"/>
        </w:rPr>
        <w:t>DToC</w:t>
      </w:r>
    </w:p>
    <w:p w:rsidR="006960C9" w:rsidRPr="00D8320A" w:rsidRDefault="002E29C1" w:rsidP="00DA4222">
      <w:pPr>
        <w:rPr>
          <w:rFonts w:cs="Arial"/>
          <w:szCs w:val="30"/>
        </w:rPr>
      </w:pPr>
      <w:r w:rsidRPr="00D8320A">
        <w:rPr>
          <w:rFonts w:cs="Arial"/>
          <w:szCs w:val="30"/>
        </w:rPr>
        <w:t>All figures relating to the number of delayed days or the number of DToC bed days have been taken from the CSV Format Monthly Delayed Transfers of Care files as published on the NHS website on the second Thursday of each month at:</w:t>
      </w:r>
    </w:p>
    <w:p w:rsidR="006960C9" w:rsidRPr="00D8320A" w:rsidRDefault="00AC7EBD" w:rsidP="00DA4222">
      <w:pPr>
        <w:rPr>
          <w:rFonts w:cs="Arial"/>
          <w:szCs w:val="30"/>
        </w:rPr>
      </w:pPr>
      <w:hyperlink r:id="rId10" w:history="1">
        <w:r w:rsidR="002E29C1" w:rsidRPr="00D8320A">
          <w:rPr>
            <w:rStyle w:val="Hyperlink"/>
            <w:szCs w:val="30"/>
          </w:rPr>
          <w:t>https://www.england.nhs.uk/statistics/statistical-work-areas/delayed-transfers-of-care/</w:t>
        </w:r>
      </w:hyperlink>
    </w:p>
    <w:p w:rsidR="001F3465" w:rsidRPr="00D8320A" w:rsidRDefault="002E29C1" w:rsidP="00DA4222">
      <w:pPr>
        <w:rPr>
          <w:rFonts w:cs="Arial"/>
          <w:b/>
          <w:szCs w:val="30"/>
        </w:rPr>
      </w:pPr>
      <w:r w:rsidRPr="00D8320A">
        <w:rPr>
          <w:rFonts w:cs="Arial"/>
          <w:b/>
          <w:szCs w:val="30"/>
        </w:rPr>
        <w:t>Population</w:t>
      </w:r>
    </w:p>
    <w:p w:rsidR="006960C9" w:rsidRPr="00D8320A" w:rsidRDefault="002E29C1" w:rsidP="00DA4222">
      <w:pPr>
        <w:rPr>
          <w:rFonts w:cs="Arial"/>
          <w:szCs w:val="30"/>
        </w:rPr>
      </w:pPr>
      <w:r w:rsidRPr="00D8320A">
        <w:rPr>
          <w:rFonts w:cs="Arial"/>
          <w:szCs w:val="30"/>
        </w:rPr>
        <w:t>Rates per 100,000 population for each local authority use the appropriate mid-year estimates for the population aged 18+ as produced by the Office for National Statistics each year.</w:t>
      </w:r>
      <w:r>
        <w:rPr>
          <w:rFonts w:cs="Arial"/>
          <w:szCs w:val="30"/>
        </w:rPr>
        <w:t xml:space="preserve"> Rates for the DToC figures for 2017/18 and 2018/19 have been recalculated against the mid-2017 population estimates released in July 2018.</w:t>
      </w:r>
    </w:p>
    <w:p w:rsidR="001F3465" w:rsidRPr="00D8320A" w:rsidRDefault="00AC7EBD" w:rsidP="00DA4222">
      <w:pPr>
        <w:rPr>
          <w:rFonts w:cs="Arial"/>
          <w:b/>
          <w:sz w:val="32"/>
          <w:szCs w:val="32"/>
        </w:rPr>
      </w:pPr>
    </w:p>
    <w:p w:rsidR="00DA4222" w:rsidRPr="00D8320A" w:rsidRDefault="002E29C1" w:rsidP="00DA4222">
      <w:pPr>
        <w:rPr>
          <w:rFonts w:cs="Arial"/>
          <w:b/>
          <w:sz w:val="32"/>
          <w:szCs w:val="32"/>
        </w:rPr>
      </w:pPr>
      <w:r w:rsidRPr="00D8320A">
        <w:rPr>
          <w:rFonts w:cs="Arial"/>
          <w:b/>
          <w:sz w:val="32"/>
          <w:szCs w:val="32"/>
        </w:rPr>
        <w:t>Version Control</w:t>
      </w:r>
    </w:p>
    <w:p w:rsidR="00DA4222" w:rsidRPr="00D8320A" w:rsidRDefault="002E29C1" w:rsidP="00C33145">
      <w:pPr>
        <w:rPr>
          <w:rFonts w:cs="Arial"/>
          <w:b/>
          <w:szCs w:val="30"/>
        </w:rPr>
      </w:pPr>
      <w:r w:rsidRPr="00D8320A">
        <w:rPr>
          <w:rFonts w:cs="Arial"/>
          <w:b/>
          <w:szCs w:val="30"/>
        </w:rPr>
        <w:t>Document name:</w:t>
      </w:r>
      <w:r w:rsidRPr="00D8320A">
        <w:rPr>
          <w:rFonts w:cs="Arial"/>
          <w:b/>
          <w:szCs w:val="30"/>
        </w:rPr>
        <w:tab/>
        <w:t xml:space="preserve">Lancashire DToC </w:t>
      </w:r>
      <w:r>
        <w:rPr>
          <w:rFonts w:cs="Arial"/>
          <w:b/>
          <w:szCs w:val="30"/>
        </w:rPr>
        <w:t>Aug</w:t>
      </w:r>
      <w:r w:rsidRPr="00D8320A">
        <w:rPr>
          <w:rFonts w:cs="Arial"/>
          <w:b/>
          <w:szCs w:val="30"/>
        </w:rPr>
        <w:t>-18</w:t>
      </w:r>
      <w:r w:rsidRPr="00D8320A">
        <w:rPr>
          <w:rFonts w:cs="Arial"/>
          <w:b/>
          <w:szCs w:val="30"/>
        </w:rPr>
        <w:tab/>
      </w:r>
    </w:p>
    <w:p w:rsidR="00DA4222" w:rsidRPr="00D8320A" w:rsidRDefault="002E29C1" w:rsidP="00C33145">
      <w:pPr>
        <w:rPr>
          <w:rFonts w:cs="Arial"/>
          <w:b/>
          <w:szCs w:val="30"/>
        </w:rPr>
      </w:pPr>
      <w:r w:rsidRPr="00D8320A">
        <w:rPr>
          <w:rFonts w:cs="Arial"/>
          <w:b/>
          <w:szCs w:val="30"/>
        </w:rPr>
        <w:t xml:space="preserve">Version: </w:t>
      </w:r>
      <w:r w:rsidRPr="00D8320A">
        <w:rPr>
          <w:rFonts w:cs="Arial"/>
          <w:b/>
          <w:szCs w:val="30"/>
        </w:rPr>
        <w:tab/>
        <w:t>0</w:t>
      </w:r>
      <w:r>
        <w:rPr>
          <w:rFonts w:cs="Arial"/>
          <w:b/>
          <w:szCs w:val="30"/>
        </w:rPr>
        <w:t>1</w:t>
      </w:r>
    </w:p>
    <w:p w:rsidR="00DA4222" w:rsidRPr="00D8320A" w:rsidRDefault="002E29C1" w:rsidP="00C33145">
      <w:pPr>
        <w:rPr>
          <w:rFonts w:cs="Arial"/>
          <w:b/>
          <w:szCs w:val="30"/>
        </w:rPr>
      </w:pPr>
      <w:r w:rsidRPr="00D8320A">
        <w:rPr>
          <w:rFonts w:cs="Arial"/>
          <w:b/>
          <w:szCs w:val="30"/>
        </w:rPr>
        <w:t xml:space="preserve">Date: </w:t>
      </w:r>
      <w:r w:rsidRPr="00D8320A">
        <w:rPr>
          <w:rFonts w:cs="Arial"/>
          <w:b/>
          <w:szCs w:val="30"/>
        </w:rPr>
        <w:tab/>
      </w:r>
      <w:r w:rsidRPr="00D8320A">
        <w:rPr>
          <w:rFonts w:cs="Arial"/>
          <w:b/>
          <w:szCs w:val="30"/>
        </w:rPr>
        <w:tab/>
      </w:r>
      <w:r>
        <w:rPr>
          <w:rFonts w:cs="Arial"/>
          <w:b/>
          <w:szCs w:val="30"/>
        </w:rPr>
        <w:t>11 October 2018</w:t>
      </w:r>
    </w:p>
    <w:p w:rsidR="00DA4222" w:rsidRPr="00D8320A" w:rsidRDefault="002E29C1" w:rsidP="00C33145">
      <w:pPr>
        <w:rPr>
          <w:rFonts w:cs="Arial"/>
          <w:b/>
        </w:rPr>
      </w:pPr>
      <w:r w:rsidRPr="00D8320A">
        <w:rPr>
          <w:rFonts w:cs="Arial"/>
          <w:b/>
        </w:rPr>
        <w:t>Document control / revision history</w:t>
      </w:r>
    </w:p>
    <w:tbl>
      <w:tblPr>
        <w:tblW w:w="949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4"/>
        <w:gridCol w:w="1842"/>
        <w:gridCol w:w="5642"/>
      </w:tblGrid>
      <w:tr w:rsidR="00040D04" w:rsidTr="00DA4222">
        <w:trPr>
          <w:trHeight w:val="20"/>
        </w:trPr>
        <w:tc>
          <w:tcPr>
            <w:tcW w:w="2014" w:type="dxa"/>
            <w:shd w:val="clear" w:color="auto" w:fill="D9D9D9"/>
            <w:vAlign w:val="center"/>
          </w:tcPr>
          <w:p w:rsidR="00DA4222" w:rsidRPr="00D8320A" w:rsidRDefault="002E29C1" w:rsidP="001A6FF0">
            <w:pPr>
              <w:spacing w:after="0"/>
              <w:rPr>
                <w:rFonts w:cs="Arial"/>
                <w:b/>
              </w:rPr>
            </w:pPr>
            <w:r w:rsidRPr="00D8320A">
              <w:rPr>
                <w:rFonts w:cs="Arial"/>
                <w:b/>
              </w:rPr>
              <w:t xml:space="preserve">Version </w:t>
            </w:r>
          </w:p>
        </w:tc>
        <w:tc>
          <w:tcPr>
            <w:tcW w:w="1842" w:type="dxa"/>
            <w:shd w:val="clear" w:color="auto" w:fill="D9D9D9"/>
            <w:vAlign w:val="center"/>
          </w:tcPr>
          <w:p w:rsidR="00DA4222" w:rsidRPr="00D8320A" w:rsidRDefault="002E29C1" w:rsidP="001A6FF0">
            <w:pPr>
              <w:spacing w:after="0"/>
              <w:rPr>
                <w:rFonts w:cs="Arial"/>
                <w:b/>
              </w:rPr>
            </w:pPr>
            <w:r w:rsidRPr="00D8320A">
              <w:rPr>
                <w:rFonts w:cs="Arial"/>
                <w:b/>
              </w:rPr>
              <w:t>Revision date</w:t>
            </w:r>
          </w:p>
        </w:tc>
        <w:tc>
          <w:tcPr>
            <w:tcW w:w="5642" w:type="dxa"/>
            <w:shd w:val="clear" w:color="auto" w:fill="D9D9D9"/>
            <w:vAlign w:val="center"/>
          </w:tcPr>
          <w:p w:rsidR="00DA4222" w:rsidRPr="00D8320A" w:rsidRDefault="002E29C1" w:rsidP="001A6FF0">
            <w:pPr>
              <w:spacing w:after="0"/>
              <w:rPr>
                <w:rFonts w:cs="Arial"/>
                <w:b/>
              </w:rPr>
            </w:pPr>
            <w:r w:rsidRPr="00D8320A">
              <w:rPr>
                <w:rFonts w:cs="Arial"/>
                <w:b/>
              </w:rPr>
              <w:t>Summary of changes</w:t>
            </w:r>
          </w:p>
        </w:tc>
      </w:tr>
      <w:tr w:rsidR="00040D04" w:rsidTr="00DA4222">
        <w:trPr>
          <w:trHeight w:val="454"/>
        </w:trPr>
        <w:tc>
          <w:tcPr>
            <w:tcW w:w="2014" w:type="dxa"/>
            <w:vAlign w:val="center"/>
          </w:tcPr>
          <w:p w:rsidR="00DA4222" w:rsidRPr="00D8320A" w:rsidRDefault="002E29C1" w:rsidP="001A6FF0">
            <w:pPr>
              <w:spacing w:after="0"/>
              <w:ind w:right="-24"/>
              <w:rPr>
                <w:rFonts w:cs="Arial"/>
              </w:rPr>
            </w:pPr>
            <w:r w:rsidRPr="00D8320A">
              <w:rPr>
                <w:rFonts w:cs="Arial"/>
              </w:rPr>
              <w:t>01</w:t>
            </w:r>
          </w:p>
        </w:tc>
        <w:tc>
          <w:tcPr>
            <w:tcW w:w="1842" w:type="dxa"/>
            <w:vAlign w:val="center"/>
          </w:tcPr>
          <w:p w:rsidR="00DA4222" w:rsidRPr="00D8320A" w:rsidRDefault="002E29C1" w:rsidP="00837304">
            <w:pPr>
              <w:spacing w:after="0"/>
              <w:rPr>
                <w:rFonts w:cs="Arial"/>
              </w:rPr>
            </w:pPr>
            <w:r>
              <w:rPr>
                <w:rFonts w:cs="Arial"/>
              </w:rPr>
              <w:t>11/10/</w:t>
            </w:r>
            <w:r w:rsidRPr="00D8320A">
              <w:rPr>
                <w:rFonts w:cs="Arial"/>
              </w:rPr>
              <w:t>2018</w:t>
            </w:r>
          </w:p>
        </w:tc>
        <w:tc>
          <w:tcPr>
            <w:tcW w:w="5642" w:type="dxa"/>
            <w:vAlign w:val="center"/>
          </w:tcPr>
          <w:p w:rsidR="00DA4222" w:rsidRPr="00D8320A" w:rsidRDefault="00AC7EBD" w:rsidP="001A6FF0">
            <w:pPr>
              <w:spacing w:after="0"/>
              <w:rPr>
                <w:rFonts w:cs="Arial"/>
              </w:rPr>
            </w:pPr>
          </w:p>
        </w:tc>
      </w:tr>
      <w:tr w:rsidR="00040D04" w:rsidTr="00DA4222">
        <w:trPr>
          <w:trHeight w:val="454"/>
        </w:trPr>
        <w:tc>
          <w:tcPr>
            <w:tcW w:w="2014" w:type="dxa"/>
            <w:vAlign w:val="center"/>
          </w:tcPr>
          <w:p w:rsidR="00785D28" w:rsidRPr="00D8320A" w:rsidRDefault="00AC7EBD" w:rsidP="00785D28">
            <w:pPr>
              <w:spacing w:after="0"/>
              <w:ind w:right="-24"/>
              <w:rPr>
                <w:rFonts w:cs="Arial"/>
              </w:rPr>
            </w:pPr>
          </w:p>
        </w:tc>
        <w:tc>
          <w:tcPr>
            <w:tcW w:w="1842" w:type="dxa"/>
            <w:vAlign w:val="center"/>
          </w:tcPr>
          <w:p w:rsidR="00785D28" w:rsidRPr="00D8320A" w:rsidRDefault="00AC7EBD" w:rsidP="00785D28">
            <w:pPr>
              <w:spacing w:after="0"/>
              <w:rPr>
                <w:rFonts w:cs="Arial"/>
              </w:rPr>
            </w:pPr>
          </w:p>
        </w:tc>
        <w:tc>
          <w:tcPr>
            <w:tcW w:w="5642" w:type="dxa"/>
            <w:vAlign w:val="center"/>
          </w:tcPr>
          <w:p w:rsidR="00785D28" w:rsidRPr="00D8320A" w:rsidRDefault="00AC7EBD" w:rsidP="00785D28">
            <w:pPr>
              <w:spacing w:after="0"/>
              <w:rPr>
                <w:rFonts w:cs="Arial"/>
              </w:rPr>
            </w:pPr>
          </w:p>
        </w:tc>
      </w:tr>
      <w:tr w:rsidR="00040D04" w:rsidTr="00DA4222">
        <w:trPr>
          <w:trHeight w:val="454"/>
        </w:trPr>
        <w:tc>
          <w:tcPr>
            <w:tcW w:w="2014" w:type="dxa"/>
            <w:vAlign w:val="center"/>
          </w:tcPr>
          <w:p w:rsidR="00785D28" w:rsidRPr="00D8320A" w:rsidRDefault="00AC7EBD" w:rsidP="00785D28">
            <w:pPr>
              <w:spacing w:after="0"/>
              <w:ind w:right="-24"/>
              <w:rPr>
                <w:rFonts w:cs="Arial"/>
              </w:rPr>
            </w:pPr>
          </w:p>
        </w:tc>
        <w:tc>
          <w:tcPr>
            <w:tcW w:w="1842" w:type="dxa"/>
            <w:vAlign w:val="center"/>
          </w:tcPr>
          <w:p w:rsidR="00785D28" w:rsidRPr="00D8320A" w:rsidRDefault="00AC7EBD" w:rsidP="00785D28">
            <w:pPr>
              <w:spacing w:after="0"/>
              <w:rPr>
                <w:rFonts w:cs="Arial"/>
              </w:rPr>
            </w:pPr>
          </w:p>
        </w:tc>
        <w:tc>
          <w:tcPr>
            <w:tcW w:w="5642" w:type="dxa"/>
            <w:vAlign w:val="center"/>
          </w:tcPr>
          <w:p w:rsidR="00785D28" w:rsidRPr="00D8320A" w:rsidRDefault="00AC7EBD" w:rsidP="00785D28">
            <w:pPr>
              <w:spacing w:after="0"/>
              <w:rPr>
                <w:rFonts w:cs="Arial"/>
              </w:rPr>
            </w:pPr>
          </w:p>
        </w:tc>
      </w:tr>
    </w:tbl>
    <w:p w:rsidR="00DA4222" w:rsidRPr="00D8320A" w:rsidRDefault="00AC7EBD" w:rsidP="00DA4222">
      <w:pPr>
        <w:spacing w:after="0"/>
        <w:rPr>
          <w:rFonts w:cs="Arial"/>
          <w:b/>
          <w:sz w:val="20"/>
        </w:rPr>
      </w:pPr>
    </w:p>
    <w:p w:rsidR="00DF5F8E" w:rsidRPr="00D8320A" w:rsidRDefault="002E29C1" w:rsidP="00D20769">
      <w:pPr>
        <w:pStyle w:val="BodyText1"/>
        <w:rPr>
          <w:b/>
          <w:szCs w:val="22"/>
        </w:rPr>
      </w:pPr>
      <w:r w:rsidRPr="00D8320A">
        <w:rPr>
          <w:b/>
          <w:szCs w:val="22"/>
        </w:rPr>
        <w:t>Andrew MacLeod</w:t>
      </w:r>
    </w:p>
    <w:p w:rsidR="00D20769" w:rsidRPr="00D8320A" w:rsidRDefault="002E29C1" w:rsidP="00D20769">
      <w:pPr>
        <w:pStyle w:val="BodyText1"/>
        <w:rPr>
          <w:b/>
          <w:szCs w:val="22"/>
        </w:rPr>
      </w:pPr>
      <w:r w:rsidRPr="00D8320A">
        <w:rPr>
          <w:b/>
          <w:szCs w:val="22"/>
        </w:rPr>
        <w:t>Performance Officer</w:t>
      </w:r>
    </w:p>
    <w:p w:rsidR="00DF5F8E" w:rsidRPr="00D8320A" w:rsidRDefault="002E29C1" w:rsidP="00D20769">
      <w:pPr>
        <w:pStyle w:val="BodyText1"/>
        <w:rPr>
          <w:b/>
          <w:szCs w:val="22"/>
        </w:rPr>
      </w:pPr>
      <w:r w:rsidRPr="00D8320A">
        <w:rPr>
          <w:b/>
          <w:szCs w:val="22"/>
        </w:rPr>
        <w:t>Business Intelligence</w:t>
      </w:r>
    </w:p>
    <w:p w:rsidR="00DF5F8E" w:rsidRPr="00D8320A" w:rsidRDefault="002E29C1" w:rsidP="00D20769">
      <w:pPr>
        <w:pStyle w:val="BodyText1"/>
        <w:rPr>
          <w:b/>
          <w:szCs w:val="22"/>
        </w:rPr>
      </w:pPr>
      <w:r w:rsidRPr="00D8320A">
        <w:rPr>
          <w:b/>
          <w:szCs w:val="22"/>
        </w:rPr>
        <w:t>Lancashire County Council</w:t>
      </w:r>
    </w:p>
    <w:p w:rsidR="00DA4222" w:rsidRPr="00D8320A" w:rsidRDefault="00AC7EBD" w:rsidP="001553A9">
      <w:pPr>
        <w:pStyle w:val="BodyText1"/>
      </w:pPr>
    </w:p>
    <w:p w:rsidR="001553A9" w:rsidRPr="00D8320A" w:rsidRDefault="002E29C1" w:rsidP="001553A9">
      <w:pPr>
        <w:pStyle w:val="BodyText1"/>
        <w:spacing w:before="0" w:line="360" w:lineRule="exact"/>
        <w:rPr>
          <w:szCs w:val="24"/>
        </w:rPr>
      </w:pPr>
      <w:r w:rsidRPr="00D8320A">
        <w:rPr>
          <w:szCs w:val="24"/>
        </w:rPr>
        <w:t>For further information on the work of Business Intelligence, please contact us at:</w:t>
      </w:r>
    </w:p>
    <w:p w:rsidR="001553A9" w:rsidRPr="00D8320A" w:rsidRDefault="002E29C1" w:rsidP="00F30BDA">
      <w:pPr>
        <w:pStyle w:val="BodyText1"/>
        <w:spacing w:before="0" w:after="0"/>
        <w:rPr>
          <w:szCs w:val="24"/>
        </w:rPr>
      </w:pPr>
      <w:r w:rsidRPr="00D8320A">
        <w:rPr>
          <w:szCs w:val="24"/>
        </w:rPr>
        <w:t>Business Intelligence</w:t>
      </w:r>
    </w:p>
    <w:p w:rsidR="001553A9" w:rsidRPr="00D8320A" w:rsidRDefault="002E29C1" w:rsidP="00F30BDA">
      <w:pPr>
        <w:pStyle w:val="BodyText1"/>
        <w:spacing w:before="0" w:after="0"/>
        <w:rPr>
          <w:szCs w:val="24"/>
        </w:rPr>
      </w:pPr>
      <w:r w:rsidRPr="00D8320A">
        <w:rPr>
          <w:szCs w:val="24"/>
        </w:rPr>
        <w:t>Lancashire County Council</w:t>
      </w:r>
    </w:p>
    <w:p w:rsidR="001553A9" w:rsidRPr="00D8320A" w:rsidRDefault="002E29C1" w:rsidP="00F30BDA">
      <w:pPr>
        <w:pStyle w:val="BodyText1"/>
        <w:spacing w:before="0" w:after="0"/>
        <w:rPr>
          <w:szCs w:val="24"/>
        </w:rPr>
      </w:pPr>
      <w:r w:rsidRPr="00D8320A">
        <w:rPr>
          <w:szCs w:val="24"/>
        </w:rPr>
        <w:t>2nd floor Christ Church Precinct</w:t>
      </w:r>
    </w:p>
    <w:p w:rsidR="001553A9" w:rsidRPr="00D8320A" w:rsidRDefault="002E29C1" w:rsidP="00F30BDA">
      <w:pPr>
        <w:pStyle w:val="BodyText1"/>
        <w:spacing w:before="0" w:after="0"/>
        <w:rPr>
          <w:szCs w:val="24"/>
        </w:rPr>
      </w:pPr>
      <w:r w:rsidRPr="00D8320A">
        <w:rPr>
          <w:szCs w:val="24"/>
        </w:rPr>
        <w:t>County Hall</w:t>
      </w:r>
    </w:p>
    <w:p w:rsidR="001553A9" w:rsidRPr="00D8320A" w:rsidRDefault="002E29C1" w:rsidP="00F30BDA">
      <w:pPr>
        <w:pStyle w:val="BodyText1"/>
        <w:spacing w:before="0" w:after="0"/>
        <w:rPr>
          <w:szCs w:val="24"/>
        </w:rPr>
      </w:pPr>
      <w:r w:rsidRPr="00D8320A">
        <w:rPr>
          <w:szCs w:val="24"/>
        </w:rPr>
        <w:t>Fishergate Hill</w:t>
      </w:r>
    </w:p>
    <w:p w:rsidR="001553A9" w:rsidRPr="00D8320A" w:rsidRDefault="002E29C1" w:rsidP="00F30BDA">
      <w:pPr>
        <w:pStyle w:val="BodyText1"/>
        <w:spacing w:before="0" w:after="0"/>
        <w:rPr>
          <w:szCs w:val="24"/>
        </w:rPr>
      </w:pPr>
      <w:r w:rsidRPr="00D8320A">
        <w:rPr>
          <w:szCs w:val="24"/>
        </w:rPr>
        <w:t>Preston</w:t>
      </w:r>
    </w:p>
    <w:p w:rsidR="001553A9" w:rsidRPr="00D8320A" w:rsidRDefault="002E29C1" w:rsidP="00F30BDA">
      <w:pPr>
        <w:pStyle w:val="BodyText1"/>
        <w:spacing w:before="0" w:after="0"/>
        <w:rPr>
          <w:szCs w:val="24"/>
        </w:rPr>
      </w:pPr>
      <w:r w:rsidRPr="00D8320A">
        <w:rPr>
          <w:szCs w:val="24"/>
        </w:rPr>
        <w:t>PR1 8XJ</w:t>
      </w:r>
    </w:p>
    <w:p w:rsidR="00D20769" w:rsidRPr="00D8320A" w:rsidRDefault="002E29C1" w:rsidP="00F30BDA">
      <w:pPr>
        <w:pStyle w:val="BodyText1"/>
        <w:spacing w:before="0" w:after="0"/>
        <w:rPr>
          <w:rStyle w:val="Hyperlink"/>
          <w:szCs w:val="24"/>
        </w:rPr>
      </w:pPr>
      <w:r w:rsidRPr="00D8320A">
        <w:rPr>
          <w:szCs w:val="24"/>
        </w:rPr>
        <w:t xml:space="preserve">E:  </w:t>
      </w:r>
      <w:hyperlink r:id="rId11" w:history="1">
        <w:r w:rsidRPr="00D8320A">
          <w:rPr>
            <w:rStyle w:val="Hyperlink"/>
            <w:szCs w:val="24"/>
          </w:rPr>
          <w:t>BusinessIntelligence.Adults@lancashire.gov.uk</w:t>
        </w:r>
      </w:hyperlink>
    </w:p>
    <w:p w:rsidR="001553A9" w:rsidRPr="00D8320A" w:rsidRDefault="002E29C1" w:rsidP="00F30BDA">
      <w:pPr>
        <w:pStyle w:val="BodyText1"/>
        <w:spacing w:before="0" w:after="0"/>
        <w:rPr>
          <w:rStyle w:val="Hyperlink"/>
          <w:szCs w:val="24"/>
        </w:rPr>
      </w:pPr>
      <w:r w:rsidRPr="00D8320A">
        <w:rPr>
          <w:szCs w:val="24"/>
        </w:rPr>
        <w:t xml:space="preserve">W: </w:t>
      </w:r>
      <w:hyperlink r:id="rId12" w:history="1">
        <w:r w:rsidRPr="00D8320A">
          <w:rPr>
            <w:rStyle w:val="Hyperlink"/>
            <w:szCs w:val="24"/>
          </w:rPr>
          <w:t>www.lancashire.gov.uk/lancashire-insight</w:t>
        </w:r>
      </w:hyperlink>
    </w:p>
    <w:p w:rsidR="001553A9" w:rsidRPr="00D8320A" w:rsidRDefault="00AC7EBD">
      <w:pPr>
        <w:autoSpaceDE/>
        <w:autoSpaceDN/>
        <w:adjustRightInd/>
        <w:spacing w:after="0"/>
        <w:jc w:val="left"/>
        <w:rPr>
          <w:b/>
          <w:sz w:val="40"/>
          <w:szCs w:val="40"/>
        </w:rPr>
      </w:pPr>
    </w:p>
    <w:p w:rsidR="006D7BB1" w:rsidRPr="008213A1" w:rsidRDefault="002E29C1" w:rsidP="00BD6097">
      <w:pPr>
        <w:pStyle w:val="TOCHeader"/>
        <w:rPr>
          <w:sz w:val="40"/>
          <w:szCs w:val="40"/>
        </w:rPr>
      </w:pPr>
      <w:r w:rsidRPr="008213A1">
        <w:rPr>
          <w:sz w:val="40"/>
          <w:szCs w:val="40"/>
        </w:rPr>
        <w:t>Contents</w:t>
      </w:r>
    </w:p>
    <w:p w:rsidR="00314200" w:rsidRPr="008213A1" w:rsidRDefault="00AC7EBD" w:rsidP="00BD6097">
      <w:pPr>
        <w:pStyle w:val="TOCHeader"/>
        <w:rPr>
          <w:sz w:val="40"/>
          <w:szCs w:val="40"/>
        </w:rPr>
      </w:pPr>
    </w:p>
    <w:p w:rsidR="00B65493" w:rsidRDefault="002E29C1">
      <w:pPr>
        <w:pStyle w:val="TOC1"/>
        <w:tabs>
          <w:tab w:val="left" w:pos="720"/>
        </w:tabs>
        <w:rPr>
          <w:rFonts w:asciiTheme="minorHAnsi" w:eastAsiaTheme="minorEastAsia" w:hAnsiTheme="minorHAnsi" w:cstheme="minorBidi"/>
          <w:b w:val="0"/>
          <w:bCs w:val="0"/>
          <w:color w:val="auto"/>
          <w:sz w:val="22"/>
          <w:szCs w:val="22"/>
          <w:lang w:eastAsia="en-GB"/>
        </w:rPr>
      </w:pPr>
      <w:r w:rsidRPr="008213A1">
        <w:rPr>
          <w:rFonts w:cs="Arial"/>
          <w:caps/>
        </w:rPr>
        <w:fldChar w:fldCharType="begin"/>
      </w:r>
      <w:r w:rsidRPr="008213A1">
        <w:instrText xml:space="preserve"> TOC \o "1-3" \h \z \u </w:instrText>
      </w:r>
      <w:r w:rsidRPr="008213A1">
        <w:rPr>
          <w:rFonts w:cs="Arial"/>
          <w:caps/>
        </w:rPr>
        <w:fldChar w:fldCharType="separate"/>
      </w:r>
      <w:hyperlink w:anchor="_Toc520456196" w:history="1">
        <w:r w:rsidRPr="0027066C">
          <w:rPr>
            <w:rStyle w:val="Hyperlink"/>
          </w:rPr>
          <w:t>1</w:t>
        </w:r>
        <w:r>
          <w:rPr>
            <w:rFonts w:asciiTheme="minorHAnsi" w:eastAsiaTheme="minorEastAsia" w:hAnsiTheme="minorHAnsi" w:cstheme="minorBidi"/>
            <w:b w:val="0"/>
            <w:bCs w:val="0"/>
            <w:color w:val="auto"/>
            <w:sz w:val="22"/>
            <w:szCs w:val="22"/>
            <w:lang w:eastAsia="en-GB"/>
          </w:rPr>
          <w:tab/>
        </w:r>
        <w:r w:rsidRPr="0027066C">
          <w:rPr>
            <w:rStyle w:val="Hyperlink"/>
          </w:rPr>
          <w:t>Executive Summary</w:t>
        </w:r>
        <w:r>
          <w:rPr>
            <w:webHidden/>
          </w:rPr>
          <w:tab/>
        </w:r>
        <w:r>
          <w:rPr>
            <w:webHidden/>
          </w:rPr>
          <w:fldChar w:fldCharType="begin"/>
        </w:r>
        <w:r>
          <w:rPr>
            <w:webHidden/>
          </w:rPr>
          <w:instrText xml:space="preserve"> PAGEREF _Toc520456196 \h </w:instrText>
        </w:r>
        <w:r>
          <w:rPr>
            <w:webHidden/>
          </w:rPr>
        </w:r>
        <w:r>
          <w:rPr>
            <w:webHidden/>
          </w:rPr>
          <w:fldChar w:fldCharType="separate"/>
        </w:r>
        <w:r>
          <w:rPr>
            <w:webHidden/>
          </w:rPr>
          <w:t>3</w:t>
        </w:r>
        <w:r>
          <w:rPr>
            <w:webHidden/>
          </w:rPr>
          <w:fldChar w:fldCharType="end"/>
        </w:r>
      </w:hyperlink>
    </w:p>
    <w:p w:rsidR="00B65493" w:rsidRDefault="00AC7EBD">
      <w:pPr>
        <w:pStyle w:val="TOC2"/>
        <w:tabs>
          <w:tab w:val="left" w:pos="1440"/>
        </w:tabs>
        <w:rPr>
          <w:rFonts w:asciiTheme="minorHAnsi" w:eastAsiaTheme="minorEastAsia" w:hAnsiTheme="minorHAnsi" w:cstheme="minorBidi"/>
          <w:color w:val="auto"/>
          <w:sz w:val="22"/>
          <w:szCs w:val="22"/>
          <w:lang w:eastAsia="en-GB"/>
        </w:rPr>
      </w:pPr>
      <w:hyperlink w:anchor="_Toc520456197" w:history="1">
        <w:r w:rsidR="002E29C1" w:rsidRPr="0027066C">
          <w:rPr>
            <w:rStyle w:val="Hyperlink"/>
          </w:rPr>
          <w:t>1.1</w:t>
        </w:r>
        <w:r w:rsidR="002E29C1">
          <w:rPr>
            <w:rFonts w:asciiTheme="minorHAnsi" w:eastAsiaTheme="minorEastAsia" w:hAnsiTheme="minorHAnsi" w:cstheme="minorBidi"/>
            <w:color w:val="auto"/>
            <w:sz w:val="22"/>
            <w:szCs w:val="22"/>
            <w:lang w:eastAsia="en-GB"/>
          </w:rPr>
          <w:tab/>
        </w:r>
        <w:r w:rsidR="002E29C1" w:rsidRPr="0027066C">
          <w:rPr>
            <w:rStyle w:val="Hyperlink"/>
          </w:rPr>
          <w:t>Key Points from the Report</w:t>
        </w:r>
        <w:r w:rsidR="002E29C1">
          <w:rPr>
            <w:webHidden/>
          </w:rPr>
          <w:tab/>
        </w:r>
        <w:r w:rsidR="002E29C1">
          <w:rPr>
            <w:webHidden/>
          </w:rPr>
          <w:fldChar w:fldCharType="begin"/>
        </w:r>
        <w:r w:rsidR="002E29C1">
          <w:rPr>
            <w:webHidden/>
          </w:rPr>
          <w:instrText xml:space="preserve"> PAGEREF _Toc520456197 \h </w:instrText>
        </w:r>
        <w:r w:rsidR="002E29C1">
          <w:rPr>
            <w:webHidden/>
          </w:rPr>
        </w:r>
        <w:r w:rsidR="002E29C1">
          <w:rPr>
            <w:webHidden/>
          </w:rPr>
          <w:fldChar w:fldCharType="separate"/>
        </w:r>
        <w:r w:rsidR="002E29C1">
          <w:rPr>
            <w:webHidden/>
          </w:rPr>
          <w:t>3</w:t>
        </w:r>
        <w:r w:rsidR="002E29C1">
          <w:rPr>
            <w:webHidden/>
          </w:rPr>
          <w:fldChar w:fldCharType="end"/>
        </w:r>
      </w:hyperlink>
    </w:p>
    <w:p w:rsidR="00B65493" w:rsidRDefault="00AC7EBD">
      <w:pPr>
        <w:pStyle w:val="TOC1"/>
        <w:tabs>
          <w:tab w:val="left" w:pos="720"/>
        </w:tabs>
        <w:rPr>
          <w:rFonts w:asciiTheme="minorHAnsi" w:eastAsiaTheme="minorEastAsia" w:hAnsiTheme="minorHAnsi" w:cstheme="minorBidi"/>
          <w:b w:val="0"/>
          <w:bCs w:val="0"/>
          <w:color w:val="auto"/>
          <w:sz w:val="22"/>
          <w:szCs w:val="22"/>
          <w:lang w:eastAsia="en-GB"/>
        </w:rPr>
      </w:pPr>
      <w:hyperlink w:anchor="_Toc520456198" w:history="1">
        <w:r w:rsidR="002E29C1" w:rsidRPr="0027066C">
          <w:rPr>
            <w:rStyle w:val="Hyperlink"/>
          </w:rPr>
          <w:t>2</w:t>
        </w:r>
        <w:r w:rsidR="002E29C1">
          <w:rPr>
            <w:rFonts w:asciiTheme="minorHAnsi" w:eastAsiaTheme="minorEastAsia" w:hAnsiTheme="minorHAnsi" w:cstheme="minorBidi"/>
            <w:b w:val="0"/>
            <w:bCs w:val="0"/>
            <w:color w:val="auto"/>
            <w:sz w:val="22"/>
            <w:szCs w:val="22"/>
            <w:lang w:eastAsia="en-GB"/>
          </w:rPr>
          <w:tab/>
        </w:r>
        <w:r w:rsidR="002E29C1" w:rsidRPr="0027066C">
          <w:rPr>
            <w:rStyle w:val="Hyperlink"/>
          </w:rPr>
          <w:t>Lancashire Latest Figures</w:t>
        </w:r>
        <w:r w:rsidR="002E29C1">
          <w:rPr>
            <w:webHidden/>
          </w:rPr>
          <w:tab/>
        </w:r>
        <w:r w:rsidR="002E29C1">
          <w:rPr>
            <w:webHidden/>
          </w:rPr>
          <w:fldChar w:fldCharType="begin"/>
        </w:r>
        <w:r w:rsidR="002E29C1">
          <w:rPr>
            <w:webHidden/>
          </w:rPr>
          <w:instrText xml:space="preserve"> PAGEREF _Toc520456198 \h </w:instrText>
        </w:r>
        <w:r w:rsidR="002E29C1">
          <w:rPr>
            <w:webHidden/>
          </w:rPr>
        </w:r>
        <w:r w:rsidR="002E29C1">
          <w:rPr>
            <w:webHidden/>
          </w:rPr>
          <w:fldChar w:fldCharType="separate"/>
        </w:r>
        <w:r w:rsidR="002E29C1">
          <w:rPr>
            <w:webHidden/>
          </w:rPr>
          <w:t>4</w:t>
        </w:r>
        <w:r w:rsidR="002E29C1">
          <w:rPr>
            <w:webHidden/>
          </w:rPr>
          <w:fldChar w:fldCharType="end"/>
        </w:r>
      </w:hyperlink>
    </w:p>
    <w:p w:rsidR="00B65493" w:rsidRDefault="00AC7EBD">
      <w:pPr>
        <w:pStyle w:val="TOC2"/>
        <w:tabs>
          <w:tab w:val="left" w:pos="1440"/>
        </w:tabs>
        <w:rPr>
          <w:rFonts w:asciiTheme="minorHAnsi" w:eastAsiaTheme="minorEastAsia" w:hAnsiTheme="minorHAnsi" w:cstheme="minorBidi"/>
          <w:color w:val="auto"/>
          <w:sz w:val="22"/>
          <w:szCs w:val="22"/>
          <w:lang w:eastAsia="en-GB"/>
        </w:rPr>
      </w:pPr>
      <w:hyperlink w:anchor="_Toc520456199" w:history="1">
        <w:r w:rsidR="002E29C1" w:rsidRPr="0027066C">
          <w:rPr>
            <w:rStyle w:val="Hyperlink"/>
          </w:rPr>
          <w:t>2.1</w:t>
        </w:r>
        <w:r w:rsidR="002E29C1">
          <w:rPr>
            <w:rFonts w:asciiTheme="minorHAnsi" w:eastAsiaTheme="minorEastAsia" w:hAnsiTheme="minorHAnsi" w:cstheme="minorBidi"/>
            <w:color w:val="auto"/>
            <w:sz w:val="22"/>
            <w:szCs w:val="22"/>
            <w:lang w:eastAsia="en-GB"/>
          </w:rPr>
          <w:tab/>
        </w:r>
        <w:r w:rsidR="002E29C1" w:rsidRPr="0027066C">
          <w:rPr>
            <w:rStyle w:val="Hyperlink"/>
          </w:rPr>
          <w:t>Lancashire Overview</w:t>
        </w:r>
        <w:r w:rsidR="002E29C1">
          <w:rPr>
            <w:webHidden/>
          </w:rPr>
          <w:tab/>
        </w:r>
        <w:r w:rsidR="002E29C1">
          <w:rPr>
            <w:webHidden/>
          </w:rPr>
          <w:fldChar w:fldCharType="begin"/>
        </w:r>
        <w:r w:rsidR="002E29C1">
          <w:rPr>
            <w:webHidden/>
          </w:rPr>
          <w:instrText xml:space="preserve"> PAGEREF _Toc520456199 \h </w:instrText>
        </w:r>
        <w:r w:rsidR="002E29C1">
          <w:rPr>
            <w:webHidden/>
          </w:rPr>
        </w:r>
        <w:r w:rsidR="002E29C1">
          <w:rPr>
            <w:webHidden/>
          </w:rPr>
          <w:fldChar w:fldCharType="separate"/>
        </w:r>
        <w:r w:rsidR="002E29C1">
          <w:rPr>
            <w:webHidden/>
          </w:rPr>
          <w:t>4</w:t>
        </w:r>
        <w:r w:rsidR="002E29C1">
          <w:rPr>
            <w:webHidden/>
          </w:rPr>
          <w:fldChar w:fldCharType="end"/>
        </w:r>
      </w:hyperlink>
    </w:p>
    <w:p w:rsidR="00B65493" w:rsidRDefault="00AC7EBD">
      <w:pPr>
        <w:pStyle w:val="TOC2"/>
        <w:tabs>
          <w:tab w:val="left" w:pos="1440"/>
        </w:tabs>
        <w:rPr>
          <w:rFonts w:asciiTheme="minorHAnsi" w:eastAsiaTheme="minorEastAsia" w:hAnsiTheme="minorHAnsi" w:cstheme="minorBidi"/>
          <w:color w:val="auto"/>
          <w:sz w:val="22"/>
          <w:szCs w:val="22"/>
          <w:lang w:eastAsia="en-GB"/>
        </w:rPr>
      </w:pPr>
      <w:hyperlink w:anchor="_Toc520456200" w:history="1">
        <w:r w:rsidR="002E29C1" w:rsidRPr="0027066C">
          <w:rPr>
            <w:rStyle w:val="Hyperlink"/>
          </w:rPr>
          <w:t>2.2</w:t>
        </w:r>
        <w:r w:rsidR="002E29C1">
          <w:rPr>
            <w:rFonts w:asciiTheme="minorHAnsi" w:eastAsiaTheme="minorEastAsia" w:hAnsiTheme="minorHAnsi" w:cstheme="minorBidi"/>
            <w:color w:val="auto"/>
            <w:sz w:val="22"/>
            <w:szCs w:val="22"/>
            <w:lang w:eastAsia="en-GB"/>
          </w:rPr>
          <w:tab/>
        </w:r>
        <w:r w:rsidR="002E29C1" w:rsidRPr="0027066C">
          <w:rPr>
            <w:rStyle w:val="Hyperlink"/>
          </w:rPr>
          <w:t>Lancashire Detail</w:t>
        </w:r>
        <w:r w:rsidR="002E29C1">
          <w:rPr>
            <w:webHidden/>
          </w:rPr>
          <w:tab/>
        </w:r>
        <w:r w:rsidR="002E29C1">
          <w:rPr>
            <w:webHidden/>
          </w:rPr>
          <w:fldChar w:fldCharType="begin"/>
        </w:r>
        <w:r w:rsidR="002E29C1">
          <w:rPr>
            <w:webHidden/>
          </w:rPr>
          <w:instrText xml:space="preserve"> PAGEREF _Toc520456200 \h </w:instrText>
        </w:r>
        <w:r w:rsidR="002E29C1">
          <w:rPr>
            <w:webHidden/>
          </w:rPr>
        </w:r>
        <w:r w:rsidR="002E29C1">
          <w:rPr>
            <w:webHidden/>
          </w:rPr>
          <w:fldChar w:fldCharType="separate"/>
        </w:r>
        <w:r w:rsidR="002E29C1">
          <w:rPr>
            <w:webHidden/>
          </w:rPr>
          <w:t>4</w:t>
        </w:r>
        <w:r w:rsidR="002E29C1">
          <w:rPr>
            <w:webHidden/>
          </w:rPr>
          <w:fldChar w:fldCharType="end"/>
        </w:r>
      </w:hyperlink>
    </w:p>
    <w:p w:rsidR="00B65493" w:rsidRDefault="00AC7EBD">
      <w:pPr>
        <w:pStyle w:val="TOC2"/>
        <w:tabs>
          <w:tab w:val="left" w:pos="1440"/>
        </w:tabs>
        <w:rPr>
          <w:rFonts w:asciiTheme="minorHAnsi" w:eastAsiaTheme="minorEastAsia" w:hAnsiTheme="minorHAnsi" w:cstheme="minorBidi"/>
          <w:color w:val="auto"/>
          <w:sz w:val="22"/>
          <w:szCs w:val="22"/>
          <w:lang w:eastAsia="en-GB"/>
        </w:rPr>
      </w:pPr>
      <w:hyperlink w:anchor="_Toc520456201" w:history="1">
        <w:r w:rsidR="002E29C1" w:rsidRPr="0027066C">
          <w:rPr>
            <w:rStyle w:val="Hyperlink"/>
          </w:rPr>
          <w:t>2.3</w:t>
        </w:r>
        <w:r w:rsidR="002E29C1">
          <w:rPr>
            <w:rFonts w:asciiTheme="minorHAnsi" w:eastAsiaTheme="minorEastAsia" w:hAnsiTheme="minorHAnsi" w:cstheme="minorBidi"/>
            <w:color w:val="auto"/>
            <w:sz w:val="22"/>
            <w:szCs w:val="22"/>
            <w:lang w:eastAsia="en-GB"/>
          </w:rPr>
          <w:tab/>
        </w:r>
        <w:r w:rsidR="002E29C1" w:rsidRPr="0027066C">
          <w:rPr>
            <w:rStyle w:val="Hyperlink"/>
          </w:rPr>
          <w:t>Proportions attributable to NHS and social care</w:t>
        </w:r>
        <w:r w:rsidR="002E29C1">
          <w:rPr>
            <w:webHidden/>
          </w:rPr>
          <w:tab/>
        </w:r>
        <w:r w:rsidR="002E29C1">
          <w:rPr>
            <w:webHidden/>
          </w:rPr>
          <w:fldChar w:fldCharType="begin"/>
        </w:r>
        <w:r w:rsidR="002E29C1">
          <w:rPr>
            <w:webHidden/>
          </w:rPr>
          <w:instrText xml:space="preserve"> PAGEREF _Toc520456201 \h </w:instrText>
        </w:r>
        <w:r w:rsidR="002E29C1">
          <w:rPr>
            <w:webHidden/>
          </w:rPr>
        </w:r>
        <w:r w:rsidR="002E29C1">
          <w:rPr>
            <w:webHidden/>
          </w:rPr>
          <w:fldChar w:fldCharType="separate"/>
        </w:r>
        <w:r w:rsidR="002E29C1">
          <w:rPr>
            <w:webHidden/>
          </w:rPr>
          <w:t>5</w:t>
        </w:r>
        <w:r w:rsidR="002E29C1">
          <w:rPr>
            <w:webHidden/>
          </w:rPr>
          <w:fldChar w:fldCharType="end"/>
        </w:r>
      </w:hyperlink>
    </w:p>
    <w:p w:rsidR="00B65493" w:rsidRDefault="00AC7EBD">
      <w:pPr>
        <w:pStyle w:val="TOC1"/>
        <w:tabs>
          <w:tab w:val="left" w:pos="720"/>
        </w:tabs>
        <w:rPr>
          <w:rFonts w:asciiTheme="minorHAnsi" w:eastAsiaTheme="minorEastAsia" w:hAnsiTheme="minorHAnsi" w:cstheme="minorBidi"/>
          <w:b w:val="0"/>
          <w:bCs w:val="0"/>
          <w:color w:val="auto"/>
          <w:sz w:val="22"/>
          <w:szCs w:val="22"/>
          <w:lang w:eastAsia="en-GB"/>
        </w:rPr>
      </w:pPr>
      <w:hyperlink w:anchor="_Toc520456202" w:history="1">
        <w:r w:rsidR="002E29C1" w:rsidRPr="0027066C">
          <w:rPr>
            <w:rStyle w:val="Hyperlink"/>
          </w:rPr>
          <w:t>3</w:t>
        </w:r>
        <w:r w:rsidR="002E29C1">
          <w:rPr>
            <w:rFonts w:asciiTheme="minorHAnsi" w:eastAsiaTheme="minorEastAsia" w:hAnsiTheme="minorHAnsi" w:cstheme="minorBidi"/>
            <w:b w:val="0"/>
            <w:bCs w:val="0"/>
            <w:color w:val="auto"/>
            <w:sz w:val="22"/>
            <w:szCs w:val="22"/>
            <w:lang w:eastAsia="en-GB"/>
          </w:rPr>
          <w:tab/>
        </w:r>
        <w:r w:rsidR="002E29C1" w:rsidRPr="0027066C">
          <w:rPr>
            <w:rStyle w:val="Hyperlink"/>
          </w:rPr>
          <w:t>DToC Targets</w:t>
        </w:r>
        <w:r w:rsidR="002E29C1">
          <w:rPr>
            <w:webHidden/>
          </w:rPr>
          <w:tab/>
        </w:r>
        <w:r w:rsidR="002E29C1">
          <w:rPr>
            <w:webHidden/>
          </w:rPr>
          <w:fldChar w:fldCharType="begin"/>
        </w:r>
        <w:r w:rsidR="002E29C1">
          <w:rPr>
            <w:webHidden/>
          </w:rPr>
          <w:instrText xml:space="preserve"> PAGEREF _Toc520456202 \h </w:instrText>
        </w:r>
        <w:r w:rsidR="002E29C1">
          <w:rPr>
            <w:webHidden/>
          </w:rPr>
        </w:r>
        <w:r w:rsidR="002E29C1">
          <w:rPr>
            <w:webHidden/>
          </w:rPr>
          <w:fldChar w:fldCharType="separate"/>
        </w:r>
        <w:r w:rsidR="002E29C1">
          <w:rPr>
            <w:webHidden/>
          </w:rPr>
          <w:t>6</w:t>
        </w:r>
        <w:r w:rsidR="002E29C1">
          <w:rPr>
            <w:webHidden/>
          </w:rPr>
          <w:fldChar w:fldCharType="end"/>
        </w:r>
      </w:hyperlink>
    </w:p>
    <w:p w:rsidR="00B65493" w:rsidRDefault="00AC7EBD">
      <w:pPr>
        <w:pStyle w:val="TOC2"/>
        <w:tabs>
          <w:tab w:val="left" w:pos="1440"/>
        </w:tabs>
        <w:rPr>
          <w:rFonts w:asciiTheme="minorHAnsi" w:eastAsiaTheme="minorEastAsia" w:hAnsiTheme="minorHAnsi" w:cstheme="minorBidi"/>
          <w:color w:val="auto"/>
          <w:sz w:val="22"/>
          <w:szCs w:val="22"/>
          <w:lang w:eastAsia="en-GB"/>
        </w:rPr>
      </w:pPr>
      <w:hyperlink w:anchor="_Toc520456203" w:history="1">
        <w:r w:rsidR="002E29C1" w:rsidRPr="0027066C">
          <w:rPr>
            <w:rStyle w:val="Hyperlink"/>
          </w:rPr>
          <w:t>3.1</w:t>
        </w:r>
        <w:r w:rsidR="002E29C1">
          <w:rPr>
            <w:rFonts w:asciiTheme="minorHAnsi" w:eastAsiaTheme="minorEastAsia" w:hAnsiTheme="minorHAnsi" w:cstheme="minorBidi"/>
            <w:color w:val="auto"/>
            <w:sz w:val="22"/>
            <w:szCs w:val="22"/>
            <w:lang w:eastAsia="en-GB"/>
          </w:rPr>
          <w:tab/>
        </w:r>
        <w:r w:rsidR="002E29C1" w:rsidRPr="0027066C">
          <w:rPr>
            <w:rStyle w:val="Hyperlink"/>
          </w:rPr>
          <w:t>Better Care Fund</w:t>
        </w:r>
        <w:r w:rsidR="002E29C1">
          <w:rPr>
            <w:webHidden/>
          </w:rPr>
          <w:tab/>
        </w:r>
        <w:r w:rsidR="002E29C1">
          <w:rPr>
            <w:webHidden/>
          </w:rPr>
          <w:fldChar w:fldCharType="begin"/>
        </w:r>
        <w:r w:rsidR="002E29C1">
          <w:rPr>
            <w:webHidden/>
          </w:rPr>
          <w:instrText xml:space="preserve"> PAGEREF _Toc520456203 \h </w:instrText>
        </w:r>
        <w:r w:rsidR="002E29C1">
          <w:rPr>
            <w:webHidden/>
          </w:rPr>
        </w:r>
        <w:r w:rsidR="002E29C1">
          <w:rPr>
            <w:webHidden/>
          </w:rPr>
          <w:fldChar w:fldCharType="separate"/>
        </w:r>
        <w:r w:rsidR="002E29C1">
          <w:rPr>
            <w:webHidden/>
          </w:rPr>
          <w:t>6</w:t>
        </w:r>
        <w:r w:rsidR="002E29C1">
          <w:rPr>
            <w:webHidden/>
          </w:rPr>
          <w:fldChar w:fldCharType="end"/>
        </w:r>
      </w:hyperlink>
    </w:p>
    <w:p w:rsidR="00B65493" w:rsidRDefault="00AC7EBD">
      <w:pPr>
        <w:pStyle w:val="TOC1"/>
        <w:tabs>
          <w:tab w:val="left" w:pos="720"/>
        </w:tabs>
        <w:rPr>
          <w:rFonts w:asciiTheme="minorHAnsi" w:eastAsiaTheme="minorEastAsia" w:hAnsiTheme="minorHAnsi" w:cstheme="minorBidi"/>
          <w:b w:val="0"/>
          <w:bCs w:val="0"/>
          <w:color w:val="auto"/>
          <w:sz w:val="22"/>
          <w:szCs w:val="22"/>
          <w:lang w:eastAsia="en-GB"/>
        </w:rPr>
      </w:pPr>
      <w:hyperlink w:anchor="_Toc520456204" w:history="1">
        <w:r w:rsidR="002E29C1" w:rsidRPr="0027066C">
          <w:rPr>
            <w:rStyle w:val="Hyperlink"/>
          </w:rPr>
          <w:t>4</w:t>
        </w:r>
        <w:r w:rsidR="002E29C1">
          <w:rPr>
            <w:rFonts w:asciiTheme="minorHAnsi" w:eastAsiaTheme="minorEastAsia" w:hAnsiTheme="minorHAnsi" w:cstheme="minorBidi"/>
            <w:b w:val="0"/>
            <w:bCs w:val="0"/>
            <w:color w:val="auto"/>
            <w:sz w:val="22"/>
            <w:szCs w:val="22"/>
            <w:lang w:eastAsia="en-GB"/>
          </w:rPr>
          <w:tab/>
        </w:r>
        <w:r w:rsidR="002E29C1" w:rsidRPr="0027066C">
          <w:rPr>
            <w:rStyle w:val="Hyperlink"/>
          </w:rPr>
          <w:t>Provider Analysis</w:t>
        </w:r>
        <w:r w:rsidR="002E29C1">
          <w:rPr>
            <w:webHidden/>
          </w:rPr>
          <w:tab/>
        </w:r>
        <w:r w:rsidR="002E29C1">
          <w:rPr>
            <w:webHidden/>
          </w:rPr>
          <w:fldChar w:fldCharType="begin"/>
        </w:r>
        <w:r w:rsidR="002E29C1">
          <w:rPr>
            <w:webHidden/>
          </w:rPr>
          <w:instrText xml:space="preserve"> PAGEREF _Toc520456204 \h </w:instrText>
        </w:r>
        <w:r w:rsidR="002E29C1">
          <w:rPr>
            <w:webHidden/>
          </w:rPr>
        </w:r>
        <w:r w:rsidR="002E29C1">
          <w:rPr>
            <w:webHidden/>
          </w:rPr>
          <w:fldChar w:fldCharType="separate"/>
        </w:r>
        <w:r w:rsidR="002E29C1">
          <w:rPr>
            <w:webHidden/>
          </w:rPr>
          <w:t>11</w:t>
        </w:r>
        <w:r w:rsidR="002E29C1">
          <w:rPr>
            <w:webHidden/>
          </w:rPr>
          <w:fldChar w:fldCharType="end"/>
        </w:r>
      </w:hyperlink>
    </w:p>
    <w:p w:rsidR="00B65493" w:rsidRDefault="00AC7EBD">
      <w:pPr>
        <w:pStyle w:val="TOC2"/>
        <w:tabs>
          <w:tab w:val="left" w:pos="1440"/>
        </w:tabs>
        <w:rPr>
          <w:rFonts w:asciiTheme="minorHAnsi" w:eastAsiaTheme="minorEastAsia" w:hAnsiTheme="minorHAnsi" w:cstheme="minorBidi"/>
          <w:color w:val="auto"/>
          <w:sz w:val="22"/>
          <w:szCs w:val="22"/>
          <w:lang w:eastAsia="en-GB"/>
        </w:rPr>
      </w:pPr>
      <w:hyperlink w:anchor="_Toc520456205" w:history="1">
        <w:r w:rsidR="002E29C1" w:rsidRPr="0027066C">
          <w:rPr>
            <w:rStyle w:val="Hyperlink"/>
          </w:rPr>
          <w:t>4.1</w:t>
        </w:r>
        <w:r w:rsidR="002E29C1">
          <w:rPr>
            <w:rFonts w:asciiTheme="minorHAnsi" w:eastAsiaTheme="minorEastAsia" w:hAnsiTheme="minorHAnsi" w:cstheme="minorBidi"/>
            <w:color w:val="auto"/>
            <w:sz w:val="22"/>
            <w:szCs w:val="22"/>
            <w:lang w:eastAsia="en-GB"/>
          </w:rPr>
          <w:tab/>
        </w:r>
        <w:r w:rsidR="002E29C1" w:rsidRPr="0027066C">
          <w:rPr>
            <w:rStyle w:val="Hyperlink"/>
          </w:rPr>
          <w:t>Trend Analysis for Lancashire Main Providers</w:t>
        </w:r>
        <w:r w:rsidR="002E29C1">
          <w:rPr>
            <w:webHidden/>
          </w:rPr>
          <w:tab/>
        </w:r>
        <w:r w:rsidR="002E29C1">
          <w:rPr>
            <w:webHidden/>
          </w:rPr>
          <w:fldChar w:fldCharType="begin"/>
        </w:r>
        <w:r w:rsidR="002E29C1">
          <w:rPr>
            <w:webHidden/>
          </w:rPr>
          <w:instrText xml:space="preserve"> PAGEREF _Toc520456205 \h </w:instrText>
        </w:r>
        <w:r w:rsidR="002E29C1">
          <w:rPr>
            <w:webHidden/>
          </w:rPr>
        </w:r>
        <w:r w:rsidR="002E29C1">
          <w:rPr>
            <w:webHidden/>
          </w:rPr>
          <w:fldChar w:fldCharType="separate"/>
        </w:r>
        <w:r w:rsidR="002E29C1">
          <w:rPr>
            <w:webHidden/>
          </w:rPr>
          <w:t>11</w:t>
        </w:r>
        <w:r w:rsidR="002E29C1">
          <w:rPr>
            <w:webHidden/>
          </w:rPr>
          <w:fldChar w:fldCharType="end"/>
        </w:r>
      </w:hyperlink>
    </w:p>
    <w:p w:rsidR="00B65493" w:rsidRDefault="00AC7EBD">
      <w:pPr>
        <w:pStyle w:val="TOC2"/>
        <w:tabs>
          <w:tab w:val="left" w:pos="1440"/>
        </w:tabs>
        <w:rPr>
          <w:rFonts w:asciiTheme="minorHAnsi" w:eastAsiaTheme="minorEastAsia" w:hAnsiTheme="minorHAnsi" w:cstheme="minorBidi"/>
          <w:color w:val="auto"/>
          <w:sz w:val="22"/>
          <w:szCs w:val="22"/>
          <w:lang w:eastAsia="en-GB"/>
        </w:rPr>
      </w:pPr>
      <w:hyperlink w:anchor="_Toc520456206" w:history="1">
        <w:r w:rsidR="002E29C1" w:rsidRPr="0027066C">
          <w:rPr>
            <w:rStyle w:val="Hyperlink"/>
          </w:rPr>
          <w:t>4.2</w:t>
        </w:r>
        <w:r w:rsidR="002E29C1">
          <w:rPr>
            <w:rFonts w:asciiTheme="minorHAnsi" w:eastAsiaTheme="minorEastAsia" w:hAnsiTheme="minorHAnsi" w:cstheme="minorBidi"/>
            <w:color w:val="auto"/>
            <w:sz w:val="22"/>
            <w:szCs w:val="22"/>
            <w:lang w:eastAsia="en-GB"/>
          </w:rPr>
          <w:tab/>
        </w:r>
        <w:r w:rsidR="002E29C1" w:rsidRPr="0027066C">
          <w:rPr>
            <w:rStyle w:val="Hyperlink"/>
          </w:rPr>
          <w:t>Provider Analysis – Acute/Non-Acute</w:t>
        </w:r>
        <w:r w:rsidR="002E29C1">
          <w:rPr>
            <w:webHidden/>
          </w:rPr>
          <w:tab/>
        </w:r>
        <w:r w:rsidR="002E29C1">
          <w:rPr>
            <w:webHidden/>
          </w:rPr>
          <w:fldChar w:fldCharType="begin"/>
        </w:r>
        <w:r w:rsidR="002E29C1">
          <w:rPr>
            <w:webHidden/>
          </w:rPr>
          <w:instrText xml:space="preserve"> PAGEREF _Toc520456206 \h </w:instrText>
        </w:r>
        <w:r w:rsidR="002E29C1">
          <w:rPr>
            <w:webHidden/>
          </w:rPr>
        </w:r>
        <w:r w:rsidR="002E29C1">
          <w:rPr>
            <w:webHidden/>
          </w:rPr>
          <w:fldChar w:fldCharType="separate"/>
        </w:r>
        <w:r w:rsidR="002E29C1">
          <w:rPr>
            <w:webHidden/>
          </w:rPr>
          <w:t>12</w:t>
        </w:r>
        <w:r w:rsidR="002E29C1">
          <w:rPr>
            <w:webHidden/>
          </w:rPr>
          <w:fldChar w:fldCharType="end"/>
        </w:r>
      </w:hyperlink>
    </w:p>
    <w:p w:rsidR="00B65493" w:rsidRDefault="00AC7EBD">
      <w:pPr>
        <w:pStyle w:val="TOC2"/>
        <w:tabs>
          <w:tab w:val="left" w:pos="1440"/>
        </w:tabs>
        <w:rPr>
          <w:rFonts w:asciiTheme="minorHAnsi" w:eastAsiaTheme="minorEastAsia" w:hAnsiTheme="minorHAnsi" w:cstheme="minorBidi"/>
          <w:color w:val="auto"/>
          <w:sz w:val="22"/>
          <w:szCs w:val="22"/>
          <w:lang w:eastAsia="en-GB"/>
        </w:rPr>
      </w:pPr>
      <w:hyperlink w:anchor="_Toc520456207" w:history="1">
        <w:r w:rsidR="002E29C1" w:rsidRPr="0027066C">
          <w:rPr>
            <w:rStyle w:val="Hyperlink"/>
          </w:rPr>
          <w:t>4.3</w:t>
        </w:r>
        <w:r w:rsidR="002E29C1">
          <w:rPr>
            <w:rFonts w:asciiTheme="minorHAnsi" w:eastAsiaTheme="minorEastAsia" w:hAnsiTheme="minorHAnsi" w:cstheme="minorBidi"/>
            <w:color w:val="auto"/>
            <w:sz w:val="22"/>
            <w:szCs w:val="22"/>
            <w:lang w:eastAsia="en-GB"/>
          </w:rPr>
          <w:tab/>
        </w:r>
        <w:r w:rsidR="002E29C1" w:rsidRPr="0027066C">
          <w:rPr>
            <w:rStyle w:val="Hyperlink"/>
          </w:rPr>
          <w:t>Provider Detail – Lancashire Residents</w:t>
        </w:r>
        <w:r w:rsidR="002E29C1">
          <w:rPr>
            <w:webHidden/>
          </w:rPr>
          <w:tab/>
        </w:r>
        <w:r w:rsidR="002E29C1">
          <w:rPr>
            <w:webHidden/>
          </w:rPr>
          <w:fldChar w:fldCharType="begin"/>
        </w:r>
        <w:r w:rsidR="002E29C1">
          <w:rPr>
            <w:webHidden/>
          </w:rPr>
          <w:instrText xml:space="preserve"> PAGEREF _Toc520456207 \h </w:instrText>
        </w:r>
        <w:r w:rsidR="002E29C1">
          <w:rPr>
            <w:webHidden/>
          </w:rPr>
        </w:r>
        <w:r w:rsidR="002E29C1">
          <w:rPr>
            <w:webHidden/>
          </w:rPr>
          <w:fldChar w:fldCharType="separate"/>
        </w:r>
        <w:r w:rsidR="002E29C1">
          <w:rPr>
            <w:webHidden/>
          </w:rPr>
          <w:t>14</w:t>
        </w:r>
        <w:r w:rsidR="002E29C1">
          <w:rPr>
            <w:webHidden/>
          </w:rPr>
          <w:fldChar w:fldCharType="end"/>
        </w:r>
      </w:hyperlink>
    </w:p>
    <w:p w:rsidR="00B65493" w:rsidRDefault="00AC7EBD">
      <w:pPr>
        <w:pStyle w:val="TOC2"/>
        <w:tabs>
          <w:tab w:val="left" w:pos="1440"/>
        </w:tabs>
        <w:rPr>
          <w:rFonts w:asciiTheme="minorHAnsi" w:eastAsiaTheme="minorEastAsia" w:hAnsiTheme="minorHAnsi" w:cstheme="minorBidi"/>
          <w:color w:val="auto"/>
          <w:sz w:val="22"/>
          <w:szCs w:val="22"/>
          <w:lang w:eastAsia="en-GB"/>
        </w:rPr>
      </w:pPr>
      <w:hyperlink w:anchor="_Toc520456208" w:history="1">
        <w:r w:rsidR="002E29C1" w:rsidRPr="0027066C">
          <w:rPr>
            <w:rStyle w:val="Hyperlink"/>
          </w:rPr>
          <w:t>4.4</w:t>
        </w:r>
        <w:r w:rsidR="002E29C1">
          <w:rPr>
            <w:rFonts w:asciiTheme="minorHAnsi" w:eastAsiaTheme="minorEastAsia" w:hAnsiTheme="minorHAnsi" w:cstheme="minorBidi"/>
            <w:color w:val="auto"/>
            <w:sz w:val="22"/>
            <w:szCs w:val="22"/>
            <w:lang w:eastAsia="en-GB"/>
          </w:rPr>
          <w:tab/>
        </w:r>
        <w:r w:rsidR="002E29C1" w:rsidRPr="0027066C">
          <w:rPr>
            <w:rStyle w:val="Hyperlink"/>
          </w:rPr>
          <w:t>Provider Detail – All Residents</w:t>
        </w:r>
        <w:r w:rsidR="002E29C1">
          <w:rPr>
            <w:webHidden/>
          </w:rPr>
          <w:tab/>
        </w:r>
        <w:r w:rsidR="002E29C1">
          <w:rPr>
            <w:webHidden/>
          </w:rPr>
          <w:fldChar w:fldCharType="begin"/>
        </w:r>
        <w:r w:rsidR="002E29C1">
          <w:rPr>
            <w:webHidden/>
          </w:rPr>
          <w:instrText xml:space="preserve"> PAGEREF _Toc520456208 \h </w:instrText>
        </w:r>
        <w:r w:rsidR="002E29C1">
          <w:rPr>
            <w:webHidden/>
          </w:rPr>
        </w:r>
        <w:r w:rsidR="002E29C1">
          <w:rPr>
            <w:webHidden/>
          </w:rPr>
          <w:fldChar w:fldCharType="separate"/>
        </w:r>
        <w:r w:rsidR="002E29C1">
          <w:rPr>
            <w:webHidden/>
          </w:rPr>
          <w:t>16</w:t>
        </w:r>
        <w:r w:rsidR="002E29C1">
          <w:rPr>
            <w:webHidden/>
          </w:rPr>
          <w:fldChar w:fldCharType="end"/>
        </w:r>
      </w:hyperlink>
    </w:p>
    <w:p w:rsidR="00B65493" w:rsidRDefault="00AC7EBD">
      <w:pPr>
        <w:pStyle w:val="TOC2"/>
        <w:tabs>
          <w:tab w:val="left" w:pos="1440"/>
        </w:tabs>
        <w:rPr>
          <w:rFonts w:asciiTheme="minorHAnsi" w:eastAsiaTheme="minorEastAsia" w:hAnsiTheme="minorHAnsi" w:cstheme="minorBidi"/>
          <w:color w:val="auto"/>
          <w:sz w:val="22"/>
          <w:szCs w:val="22"/>
          <w:lang w:eastAsia="en-GB"/>
        </w:rPr>
      </w:pPr>
      <w:hyperlink w:anchor="_Toc520456209" w:history="1">
        <w:r w:rsidR="002E29C1" w:rsidRPr="0027066C">
          <w:rPr>
            <w:rStyle w:val="Hyperlink"/>
          </w:rPr>
          <w:t>4.5</w:t>
        </w:r>
        <w:r w:rsidR="002E29C1">
          <w:rPr>
            <w:rFonts w:asciiTheme="minorHAnsi" w:eastAsiaTheme="minorEastAsia" w:hAnsiTheme="minorHAnsi" w:cstheme="minorBidi"/>
            <w:color w:val="auto"/>
            <w:sz w:val="22"/>
            <w:szCs w:val="22"/>
            <w:lang w:eastAsia="en-GB"/>
          </w:rPr>
          <w:tab/>
        </w:r>
        <w:r w:rsidR="002E29C1" w:rsidRPr="0027066C">
          <w:rPr>
            <w:rStyle w:val="Hyperlink"/>
          </w:rPr>
          <w:t>Provider Rank – All Residents</w:t>
        </w:r>
        <w:r w:rsidR="002E29C1">
          <w:rPr>
            <w:webHidden/>
          </w:rPr>
          <w:tab/>
        </w:r>
        <w:r w:rsidR="002E29C1">
          <w:rPr>
            <w:webHidden/>
          </w:rPr>
          <w:fldChar w:fldCharType="begin"/>
        </w:r>
        <w:r w:rsidR="002E29C1">
          <w:rPr>
            <w:webHidden/>
          </w:rPr>
          <w:instrText xml:space="preserve"> PAGEREF _Toc520456209 \h </w:instrText>
        </w:r>
        <w:r w:rsidR="002E29C1">
          <w:rPr>
            <w:webHidden/>
          </w:rPr>
        </w:r>
        <w:r w:rsidR="002E29C1">
          <w:rPr>
            <w:webHidden/>
          </w:rPr>
          <w:fldChar w:fldCharType="separate"/>
        </w:r>
        <w:r w:rsidR="002E29C1">
          <w:rPr>
            <w:webHidden/>
          </w:rPr>
          <w:t>18</w:t>
        </w:r>
        <w:r w:rsidR="002E29C1">
          <w:rPr>
            <w:webHidden/>
          </w:rPr>
          <w:fldChar w:fldCharType="end"/>
        </w:r>
      </w:hyperlink>
    </w:p>
    <w:p w:rsidR="00B65493" w:rsidRDefault="00AC7EBD">
      <w:pPr>
        <w:pStyle w:val="TOC1"/>
        <w:tabs>
          <w:tab w:val="left" w:pos="720"/>
        </w:tabs>
        <w:rPr>
          <w:rFonts w:asciiTheme="minorHAnsi" w:eastAsiaTheme="minorEastAsia" w:hAnsiTheme="minorHAnsi" w:cstheme="minorBidi"/>
          <w:b w:val="0"/>
          <w:bCs w:val="0"/>
          <w:color w:val="auto"/>
          <w:sz w:val="22"/>
          <w:szCs w:val="22"/>
          <w:lang w:eastAsia="en-GB"/>
        </w:rPr>
      </w:pPr>
      <w:hyperlink w:anchor="_Toc520456210" w:history="1">
        <w:r w:rsidR="002E29C1" w:rsidRPr="0027066C">
          <w:rPr>
            <w:rStyle w:val="Hyperlink"/>
          </w:rPr>
          <w:t>5</w:t>
        </w:r>
        <w:r w:rsidR="002E29C1">
          <w:rPr>
            <w:rFonts w:asciiTheme="minorHAnsi" w:eastAsiaTheme="minorEastAsia" w:hAnsiTheme="minorHAnsi" w:cstheme="minorBidi"/>
            <w:b w:val="0"/>
            <w:bCs w:val="0"/>
            <w:color w:val="auto"/>
            <w:sz w:val="22"/>
            <w:szCs w:val="22"/>
            <w:lang w:eastAsia="en-GB"/>
          </w:rPr>
          <w:tab/>
        </w:r>
        <w:r w:rsidR="002E29C1" w:rsidRPr="0027066C">
          <w:rPr>
            <w:rStyle w:val="Hyperlink"/>
          </w:rPr>
          <w:t>Reason for Delays – Lancashire Residents</w:t>
        </w:r>
        <w:r w:rsidR="002E29C1">
          <w:rPr>
            <w:webHidden/>
          </w:rPr>
          <w:tab/>
        </w:r>
        <w:r w:rsidR="002E29C1">
          <w:rPr>
            <w:webHidden/>
          </w:rPr>
          <w:fldChar w:fldCharType="begin"/>
        </w:r>
        <w:r w:rsidR="002E29C1">
          <w:rPr>
            <w:webHidden/>
          </w:rPr>
          <w:instrText xml:space="preserve"> PAGEREF _Toc520456210 \h </w:instrText>
        </w:r>
        <w:r w:rsidR="002E29C1">
          <w:rPr>
            <w:webHidden/>
          </w:rPr>
        </w:r>
        <w:r w:rsidR="002E29C1">
          <w:rPr>
            <w:webHidden/>
          </w:rPr>
          <w:fldChar w:fldCharType="separate"/>
        </w:r>
        <w:r w:rsidR="002E29C1">
          <w:rPr>
            <w:webHidden/>
          </w:rPr>
          <w:t>19</w:t>
        </w:r>
        <w:r w:rsidR="002E29C1">
          <w:rPr>
            <w:webHidden/>
          </w:rPr>
          <w:fldChar w:fldCharType="end"/>
        </w:r>
      </w:hyperlink>
    </w:p>
    <w:p w:rsidR="00D97765" w:rsidRPr="008213A1" w:rsidRDefault="002E29C1" w:rsidP="00D97765">
      <w:pPr>
        <w:pStyle w:val="Instructiontext"/>
        <w:jc w:val="left"/>
      </w:pPr>
      <w:r w:rsidRPr="008213A1">
        <w:fldChar w:fldCharType="end"/>
      </w:r>
    </w:p>
    <w:bookmarkEnd w:id="2"/>
    <w:p w:rsidR="00F669DE" w:rsidRPr="008213A1" w:rsidRDefault="002E29C1">
      <w:pPr>
        <w:autoSpaceDE/>
        <w:autoSpaceDN/>
        <w:adjustRightInd/>
        <w:spacing w:after="0"/>
        <w:jc w:val="left"/>
        <w:rPr>
          <w:rFonts w:eastAsia="Times New Roman"/>
          <w:b/>
          <w:bCs/>
          <w:color w:val="auto"/>
          <w:sz w:val="40"/>
          <w:szCs w:val="28"/>
          <w:lang w:eastAsia="en-GB"/>
        </w:rPr>
      </w:pPr>
      <w:r w:rsidRPr="008213A1">
        <w:br w:type="page"/>
      </w:r>
    </w:p>
    <w:p w:rsidR="000A1E1B" w:rsidRPr="00BB0226" w:rsidRDefault="002E29C1" w:rsidP="00281495">
      <w:pPr>
        <w:pStyle w:val="Heading1"/>
        <w:spacing w:before="0" w:after="0"/>
        <w:ind w:left="431" w:hanging="431"/>
        <w:jc w:val="left"/>
      </w:pPr>
      <w:bookmarkStart w:id="3" w:name="_Toc520456196"/>
      <w:r w:rsidRPr="00BB0226">
        <w:lastRenderedPageBreak/>
        <w:t>Executive Summary</w:t>
      </w:r>
      <w:bookmarkEnd w:id="3"/>
    </w:p>
    <w:p w:rsidR="00E448BB" w:rsidRPr="00BB0226" w:rsidRDefault="00AC7EBD" w:rsidP="00E448BB">
      <w:pPr>
        <w:rPr>
          <w:lang w:eastAsia="en-GB"/>
        </w:rPr>
      </w:pPr>
    </w:p>
    <w:p w:rsidR="00E448BB" w:rsidRPr="00161FA4" w:rsidRDefault="002E29C1" w:rsidP="00D8320A">
      <w:pPr>
        <w:pStyle w:val="Heading2"/>
      </w:pPr>
      <w:bookmarkStart w:id="4" w:name="_Toc520456197"/>
      <w:r w:rsidRPr="00161FA4">
        <w:t>Key Points from the Report</w:t>
      </w:r>
      <w:bookmarkEnd w:id="4"/>
    </w:p>
    <w:p w:rsidR="00DC0BF7" w:rsidRPr="00161FA4" w:rsidRDefault="002E29C1" w:rsidP="000000DE">
      <w:pPr>
        <w:spacing w:before="120" w:after="160"/>
        <w:rPr>
          <w:rFonts w:cs="Arial"/>
        </w:rPr>
      </w:pPr>
      <w:r w:rsidRPr="00161FA4">
        <w:rPr>
          <w:rFonts w:cs="Arial"/>
        </w:rPr>
        <w:t>The Lancashire monthly total for delayed days has increased by 87 days from 2897 in Jul-18 to 2984 in Aug-18, an increase of 3.0% (compared with an overall increase of 4.2% for our comparator authorities and an increase of 4.0% for all authorities).</w:t>
      </w:r>
    </w:p>
    <w:p w:rsidR="00E13362" w:rsidRPr="00161FA4" w:rsidRDefault="002E29C1" w:rsidP="000000DE">
      <w:pPr>
        <w:spacing w:before="120" w:after="160"/>
        <w:rPr>
          <w:rFonts w:cs="Arial"/>
        </w:rPr>
      </w:pPr>
      <w:r w:rsidRPr="00161FA4">
        <w:rPr>
          <w:rFonts w:cs="Arial"/>
        </w:rPr>
        <w:t xml:space="preserve">In comparison with the previous year, the Aug-18 figure of 2984 represents a 31.9% decrease when compared with 4383 days recorded in Aug-17. </w:t>
      </w:r>
    </w:p>
    <w:p w:rsidR="00E13362" w:rsidRPr="00161FA4" w:rsidRDefault="002E29C1" w:rsidP="000000DE">
      <w:pPr>
        <w:spacing w:before="120" w:after="160"/>
        <w:rPr>
          <w:rFonts w:cs="Arial"/>
        </w:rPr>
      </w:pPr>
      <w:r w:rsidRPr="00161FA4">
        <w:rPr>
          <w:rFonts w:cs="Arial"/>
        </w:rPr>
        <w:t xml:space="preserve">The 87 days increase for Lancashire includes a decrease of 66 attributable to NHS (a decrease of 4.0%), an increase of 178 attributable to social care (an increase of 16.9%), and an increase of 3 days attributable to both (an increase of 1.9%). </w:t>
      </w:r>
    </w:p>
    <w:p w:rsidR="00DC0BF7" w:rsidRPr="00161FA4" w:rsidRDefault="002E29C1" w:rsidP="000000DE">
      <w:pPr>
        <w:spacing w:before="120" w:after="160"/>
        <w:rPr>
          <w:rFonts w:cs="Arial"/>
        </w:rPr>
      </w:pPr>
      <w:r w:rsidRPr="00161FA4">
        <w:rPr>
          <w:rFonts w:cs="Arial"/>
        </w:rPr>
        <w:t>In Aug-18 for Lancashire a total of 52.5% of delays were attributable to NHS (down from 56.4%) and 41.3% were attributable to social care (up from 36.4%), compared with the national figures of 61.3% attributable to NHS and 31.3% to social care.</w:t>
      </w:r>
    </w:p>
    <w:p w:rsidR="00E13362" w:rsidRPr="00161FA4" w:rsidRDefault="002E29C1" w:rsidP="000000DE">
      <w:pPr>
        <w:spacing w:before="120" w:after="160" w:line="259" w:lineRule="auto"/>
      </w:pPr>
      <w:r w:rsidRPr="00161FA4">
        <w:rPr>
          <w:rFonts w:cs="Arial"/>
        </w:rPr>
        <w:t xml:space="preserve">In July 2018 provisional revised expectations for reducing DToC were published for all authorities as part of the Better Care Fund 2018/19 Operational Guidance. </w:t>
      </w:r>
      <w:r w:rsidRPr="00161FA4">
        <w:t>The target set for Lancashire was 36.6 DToC bed days for social care and 101.8 DToC bed days in total. The Aug-18 figures show that Lancashire has once again achieved the total target already with 96.3 DToC bed days in total, though we are slightly outside the social care target with 39.7 DToC bed days.</w:t>
      </w:r>
    </w:p>
    <w:p w:rsidR="0026459A" w:rsidRPr="00161FA4" w:rsidRDefault="002E29C1" w:rsidP="000B0EB1">
      <w:pPr>
        <w:rPr>
          <w:rFonts w:cs="Arial"/>
        </w:rPr>
      </w:pPr>
      <w:r w:rsidRPr="00161FA4">
        <w:rPr>
          <w:rFonts w:cs="Arial"/>
        </w:rPr>
        <w:t>Out of 151 authorities Lancashire currently rank 87</w:t>
      </w:r>
      <w:r w:rsidRPr="00161FA4">
        <w:rPr>
          <w:rFonts w:cs="Arial"/>
          <w:vertAlign w:val="superscript"/>
        </w:rPr>
        <w:t>th</w:t>
      </w:r>
      <w:r w:rsidRPr="00161FA4">
        <w:rPr>
          <w:rFonts w:cs="Arial"/>
        </w:rPr>
        <w:t xml:space="preserve"> for total DToC bed days per 100,000 pop aged 18+ (compared with 93</w:t>
      </w:r>
      <w:r w:rsidRPr="00161FA4">
        <w:rPr>
          <w:rFonts w:cs="Arial"/>
          <w:vertAlign w:val="superscript"/>
        </w:rPr>
        <w:t>rd</w:t>
      </w:r>
      <w:r w:rsidRPr="00161FA4">
        <w:rPr>
          <w:rFonts w:cs="Arial"/>
        </w:rPr>
        <w:t xml:space="preserve"> in Jul-18) and 114</w:t>
      </w:r>
      <w:r w:rsidRPr="00161FA4">
        <w:rPr>
          <w:rFonts w:cs="Arial"/>
          <w:vertAlign w:val="superscript"/>
        </w:rPr>
        <w:t>th</w:t>
      </w:r>
      <w:r w:rsidRPr="00161FA4">
        <w:rPr>
          <w:rFonts w:cs="Arial"/>
        </w:rPr>
        <w:t xml:space="preserve"> for social care bed days (compared with 107</w:t>
      </w:r>
      <w:r w:rsidRPr="00161FA4">
        <w:rPr>
          <w:rFonts w:cs="Arial"/>
          <w:vertAlign w:val="superscript"/>
        </w:rPr>
        <w:t>th</w:t>
      </w:r>
      <w:r w:rsidRPr="00161FA4">
        <w:rPr>
          <w:rFonts w:cs="Arial"/>
        </w:rPr>
        <w:t xml:space="preserve"> in Jul-18).</w:t>
      </w:r>
    </w:p>
    <w:p w:rsidR="000B0EB1" w:rsidRPr="00161FA4" w:rsidRDefault="002E29C1" w:rsidP="000B0EB1">
      <w:pPr>
        <w:rPr>
          <w:rFonts w:cs="Arial"/>
        </w:rPr>
      </w:pPr>
      <w:r w:rsidRPr="00161FA4">
        <w:rPr>
          <w:rFonts w:cs="Arial"/>
        </w:rPr>
        <w:t xml:space="preserve">Figures for Aug-18 reveal a slight increase in social care days for Lancashire residents at Lancashire Teaching Hospitals (from 544 to 677), </w:t>
      </w:r>
      <w:r w:rsidRPr="00161FA4">
        <w:t xml:space="preserve">East Lancashire (from 103 to 130) </w:t>
      </w:r>
      <w:r w:rsidRPr="00161FA4">
        <w:rPr>
          <w:rFonts w:cs="Arial"/>
        </w:rPr>
        <w:t xml:space="preserve">and </w:t>
      </w:r>
      <w:r w:rsidRPr="00161FA4">
        <w:t>Morecambe Bay</w:t>
      </w:r>
      <w:r w:rsidRPr="00161FA4">
        <w:rPr>
          <w:rFonts w:cs="Arial"/>
        </w:rPr>
        <w:t xml:space="preserve"> too (from 144 to 161)</w:t>
      </w:r>
      <w:r w:rsidRPr="00161FA4">
        <w:t>.</w:t>
      </w:r>
    </w:p>
    <w:p w:rsidR="000B0EB1" w:rsidRPr="00161FA4" w:rsidRDefault="002E29C1" w:rsidP="000B0EB1">
      <w:pPr>
        <w:rPr>
          <w:lang w:eastAsia="en-GB"/>
        </w:rPr>
      </w:pPr>
      <w:r w:rsidRPr="00161FA4">
        <w:rPr>
          <w:lang w:eastAsia="en-GB"/>
        </w:rPr>
        <w:t xml:space="preserve">The acute/non-acute split for the six main Lancashire providers in Aug-18 shows that only Blackpool and East Lancashire have substantial proportions of each. </w:t>
      </w:r>
    </w:p>
    <w:p w:rsidR="000B0EB1" w:rsidRPr="00161FA4" w:rsidRDefault="002E29C1" w:rsidP="000B0EB1">
      <w:pPr>
        <w:spacing w:after="0" w:line="259" w:lineRule="auto"/>
        <w:rPr>
          <w:rFonts w:cs="Arial"/>
        </w:rPr>
      </w:pPr>
      <w:r w:rsidRPr="00161FA4">
        <w:rPr>
          <w:rFonts w:cs="Arial"/>
        </w:rPr>
        <w:t>The full provider list of the Lancashire Aug-18 total of 2984 days shows that Lancashire Teaching Hospitals accounted for 55.0% of the 1232 social care delays (compared with 51.6% in Jul-18).</w:t>
      </w:r>
    </w:p>
    <w:p w:rsidR="000B0EB1" w:rsidRPr="00161FA4" w:rsidRDefault="002E29C1" w:rsidP="000000DE">
      <w:pPr>
        <w:spacing w:before="120" w:after="160" w:line="259" w:lineRule="auto"/>
        <w:rPr>
          <w:rFonts w:cs="Arial"/>
        </w:rPr>
      </w:pPr>
      <w:r w:rsidRPr="00161FA4">
        <w:rPr>
          <w:rFonts w:cs="Arial"/>
        </w:rPr>
        <w:t>In Aug-18 the primary reason for total Lancashire delays was once again assessment completion, the social care element of which showed an increase from 277 to 376 days.</w:t>
      </w:r>
    </w:p>
    <w:p w:rsidR="000B0EB1" w:rsidRPr="00161FA4" w:rsidRDefault="002E29C1" w:rsidP="000000DE">
      <w:pPr>
        <w:spacing w:before="120" w:after="160" w:line="259" w:lineRule="auto"/>
        <w:rPr>
          <w:rFonts w:cs="Arial"/>
        </w:rPr>
      </w:pPr>
      <w:r w:rsidRPr="00161FA4">
        <w:rPr>
          <w:rFonts w:cs="Arial"/>
        </w:rPr>
        <w:t>Social care delays incurred whilst waiting for assessment completion once again exceed the social care delays incurred through arranging residential care and also those incurred through arranging nursing care or a home care package.</w:t>
      </w:r>
    </w:p>
    <w:p w:rsidR="00492ECF" w:rsidRPr="00161FA4" w:rsidRDefault="002E29C1" w:rsidP="000B0EB1">
      <w:pPr>
        <w:spacing w:after="240" w:line="259" w:lineRule="auto"/>
        <w:rPr>
          <w:rFonts w:cs="Arial"/>
        </w:rPr>
      </w:pPr>
      <w:r w:rsidRPr="00161FA4">
        <w:rPr>
          <w:rFonts w:cs="Arial"/>
        </w:rPr>
        <w:t xml:space="preserve">Of the 254 delayed days recorded in Aug-18 for delays in arranging nursing care attributable to social care, a total of 98 (39%) were recorded by Lancashire Teaching Hospitals NHS Foundation Trust and 113 (44%) were recorded by Morecambe Bay. </w:t>
      </w:r>
      <w:r w:rsidRPr="00161FA4">
        <w:rPr>
          <w:rFonts w:cs="Arial"/>
        </w:rPr>
        <w:br w:type="page"/>
      </w:r>
    </w:p>
    <w:p w:rsidR="00E448BB" w:rsidRPr="004D6FC3" w:rsidRDefault="002E29C1" w:rsidP="00E448BB">
      <w:pPr>
        <w:pStyle w:val="Heading1"/>
        <w:spacing w:before="0" w:after="0"/>
        <w:ind w:left="431" w:hanging="431"/>
        <w:jc w:val="left"/>
      </w:pPr>
      <w:bookmarkStart w:id="5" w:name="_Toc520456198"/>
      <w:r w:rsidRPr="00161FA4">
        <w:lastRenderedPageBreak/>
        <w:t>Lancashi</w:t>
      </w:r>
      <w:r w:rsidRPr="004D6FC3">
        <w:t>re Latest Figures</w:t>
      </w:r>
      <w:bookmarkEnd w:id="5"/>
    </w:p>
    <w:p w:rsidR="00782DF2" w:rsidRPr="004D6FC3" w:rsidRDefault="00AC7EBD" w:rsidP="00782DF2">
      <w:pPr>
        <w:spacing w:after="0"/>
        <w:rPr>
          <w:lang w:eastAsia="en-GB"/>
        </w:rPr>
      </w:pPr>
    </w:p>
    <w:p w:rsidR="002E395B" w:rsidRPr="004D6FC3" w:rsidRDefault="002E29C1" w:rsidP="002E395B">
      <w:pPr>
        <w:pStyle w:val="Heading2"/>
      </w:pPr>
      <w:bookmarkStart w:id="6" w:name="_Toc520456199"/>
      <w:r w:rsidRPr="004D6FC3">
        <w:t>Lancashire Overview</w:t>
      </w:r>
      <w:bookmarkEnd w:id="6"/>
    </w:p>
    <w:p w:rsidR="00D17A5F" w:rsidRPr="00CE3F4F" w:rsidRDefault="002E29C1" w:rsidP="00D17A5F">
      <w:pPr>
        <w:rPr>
          <w:rFonts w:cs="Arial"/>
        </w:rPr>
      </w:pPr>
      <w:r w:rsidRPr="004D6FC3">
        <w:rPr>
          <w:rFonts w:cs="Arial"/>
        </w:rPr>
        <w:t xml:space="preserve">The Lancashire monthly </w:t>
      </w:r>
      <w:r w:rsidRPr="00CE3F4F">
        <w:rPr>
          <w:rFonts w:cs="Arial"/>
        </w:rPr>
        <w:t xml:space="preserve">total for delayed days has increased by 87 days from 2897 in Jul-18 to 2984 in Aug-18, an increase of 3.0% (compared with an overall increase of 4.2% for our comparator authorities and an increase of 4.0% for all authorities). </w:t>
      </w:r>
    </w:p>
    <w:p w:rsidR="00090628" w:rsidRPr="00CE3F4F" w:rsidRDefault="002E29C1" w:rsidP="00D17A5F">
      <w:pPr>
        <w:rPr>
          <w:rFonts w:cs="Arial"/>
        </w:rPr>
      </w:pPr>
      <w:r w:rsidRPr="00CE3F4F">
        <w:rPr>
          <w:noProof/>
          <w:lang w:eastAsia="en-GB"/>
        </w:rPr>
        <w:drawing>
          <wp:inline distT="0" distB="0" distL="0" distR="0">
            <wp:extent cx="5727700" cy="2660072"/>
            <wp:effectExtent l="0" t="0" r="6350" b="698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9281C" w:rsidRPr="00CE3F4F" w:rsidRDefault="00AC7EBD" w:rsidP="00281495">
      <w:pPr>
        <w:spacing w:after="0"/>
        <w:jc w:val="left"/>
        <w:rPr>
          <w:lang w:eastAsia="en-GB"/>
        </w:rPr>
      </w:pPr>
    </w:p>
    <w:p w:rsidR="00D17A5F" w:rsidRPr="00CE3F4F" w:rsidRDefault="002E29C1" w:rsidP="00D17A5F">
      <w:pPr>
        <w:pStyle w:val="Heading2"/>
        <w:spacing w:before="0" w:after="0"/>
        <w:ind w:left="578" w:hanging="578"/>
        <w:jc w:val="left"/>
      </w:pPr>
      <w:bookmarkStart w:id="7" w:name="_Toc520456200"/>
      <w:r w:rsidRPr="00CE3F4F">
        <w:t>Lancashire Detail</w:t>
      </w:r>
      <w:bookmarkEnd w:id="7"/>
    </w:p>
    <w:p w:rsidR="00773E2E" w:rsidRPr="006B3AA0" w:rsidRDefault="00AC7EBD" w:rsidP="00773E2E">
      <w:pPr>
        <w:rPr>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52"/>
        <w:gridCol w:w="991"/>
        <w:gridCol w:w="854"/>
        <w:gridCol w:w="919"/>
        <w:gridCol w:w="923"/>
        <w:gridCol w:w="928"/>
        <w:gridCol w:w="914"/>
        <w:gridCol w:w="933"/>
      </w:tblGrid>
      <w:tr w:rsidR="00040D04" w:rsidTr="00CE3F4F">
        <w:trPr>
          <w:trHeight w:val="315"/>
        </w:trPr>
        <w:tc>
          <w:tcPr>
            <w:tcW w:w="941" w:type="pct"/>
            <w:shd w:val="clear" w:color="auto" w:fill="auto"/>
            <w:noWrap/>
            <w:vAlign w:val="bottom"/>
            <w:hideMark/>
          </w:tcPr>
          <w:p w:rsidR="00090628" w:rsidRPr="006B3AA0" w:rsidRDefault="002E29C1" w:rsidP="00090628">
            <w:pPr>
              <w:autoSpaceDE/>
              <w:autoSpaceDN/>
              <w:adjustRightInd/>
              <w:spacing w:after="0"/>
              <w:jc w:val="lef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 </w:t>
            </w:r>
          </w:p>
        </w:tc>
        <w:tc>
          <w:tcPr>
            <w:tcW w:w="2007" w:type="pct"/>
            <w:gridSpan w:val="4"/>
            <w:shd w:val="clear" w:color="auto" w:fill="auto"/>
            <w:noWrap/>
            <w:vAlign w:val="bottom"/>
            <w:hideMark/>
          </w:tcPr>
          <w:p w:rsidR="00090628" w:rsidRPr="006B3AA0" w:rsidRDefault="002E29C1" w:rsidP="00090628">
            <w:pPr>
              <w:autoSpaceDE/>
              <w:autoSpaceDN/>
              <w:adjustRightInd/>
              <w:spacing w:after="0"/>
              <w:jc w:val="center"/>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Lancashire</w:t>
            </w:r>
          </w:p>
        </w:tc>
        <w:tc>
          <w:tcPr>
            <w:tcW w:w="1027" w:type="pct"/>
            <w:gridSpan w:val="2"/>
            <w:shd w:val="clear" w:color="auto" w:fill="auto"/>
            <w:noWrap/>
            <w:vAlign w:val="bottom"/>
            <w:hideMark/>
          </w:tcPr>
          <w:p w:rsidR="00090628" w:rsidRPr="006B3AA0" w:rsidRDefault="002E29C1" w:rsidP="00090628">
            <w:pPr>
              <w:autoSpaceDE/>
              <w:autoSpaceDN/>
              <w:adjustRightInd/>
              <w:spacing w:after="0"/>
              <w:jc w:val="center"/>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comparator group</w:t>
            </w:r>
          </w:p>
        </w:tc>
        <w:tc>
          <w:tcPr>
            <w:tcW w:w="1025" w:type="pct"/>
            <w:gridSpan w:val="2"/>
            <w:shd w:val="clear" w:color="auto" w:fill="auto"/>
            <w:noWrap/>
            <w:vAlign w:val="bottom"/>
            <w:hideMark/>
          </w:tcPr>
          <w:p w:rsidR="00090628" w:rsidRPr="006B3AA0" w:rsidRDefault="002E29C1" w:rsidP="00090628">
            <w:pPr>
              <w:autoSpaceDE/>
              <w:autoSpaceDN/>
              <w:adjustRightInd/>
              <w:spacing w:after="0"/>
              <w:jc w:val="center"/>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all authorities</w:t>
            </w:r>
          </w:p>
        </w:tc>
      </w:tr>
      <w:tr w:rsidR="00040D04" w:rsidTr="00CE3F4F">
        <w:trPr>
          <w:trHeight w:val="300"/>
        </w:trPr>
        <w:tc>
          <w:tcPr>
            <w:tcW w:w="941" w:type="pct"/>
            <w:shd w:val="clear" w:color="4F81BD" w:fill="4F81BD"/>
            <w:noWrap/>
            <w:vAlign w:val="bottom"/>
            <w:hideMark/>
          </w:tcPr>
          <w:p w:rsidR="00090628" w:rsidRPr="006B3AA0" w:rsidRDefault="002E29C1" w:rsidP="00090628">
            <w:pPr>
              <w:autoSpaceDE/>
              <w:autoSpaceDN/>
              <w:adjustRightInd/>
              <w:spacing w:after="0"/>
              <w:jc w:val="left"/>
              <w:rPr>
                <w:rFonts w:ascii="Calibri" w:eastAsia="Times New Roman" w:hAnsi="Calibri" w:cs="Times New Roman"/>
                <w:b/>
                <w:bCs/>
                <w:color w:val="FFFFFF"/>
                <w:sz w:val="22"/>
                <w:szCs w:val="22"/>
                <w:lang w:eastAsia="en-GB"/>
              </w:rPr>
            </w:pPr>
            <w:r w:rsidRPr="006B3AA0">
              <w:rPr>
                <w:rFonts w:ascii="Calibri" w:eastAsia="Times New Roman" w:hAnsi="Calibri" w:cs="Times New Roman"/>
                <w:b/>
                <w:bCs/>
                <w:color w:val="FFFFFF"/>
                <w:sz w:val="22"/>
                <w:szCs w:val="22"/>
                <w:lang w:eastAsia="en-GB"/>
              </w:rPr>
              <w:t>Month</w:t>
            </w:r>
          </w:p>
        </w:tc>
        <w:tc>
          <w:tcPr>
            <w:tcW w:w="473" w:type="pct"/>
            <w:shd w:val="clear" w:color="4F81BD" w:fill="4F81BD"/>
            <w:noWrap/>
            <w:vAlign w:val="bottom"/>
            <w:hideMark/>
          </w:tcPr>
          <w:p w:rsidR="00090628" w:rsidRPr="006B3AA0" w:rsidRDefault="002E29C1" w:rsidP="00090628">
            <w:pPr>
              <w:autoSpaceDE/>
              <w:autoSpaceDN/>
              <w:adjustRightInd/>
              <w:spacing w:after="0"/>
              <w:jc w:val="left"/>
              <w:rPr>
                <w:rFonts w:ascii="Calibri" w:eastAsia="Times New Roman" w:hAnsi="Calibri" w:cs="Times New Roman"/>
                <w:b/>
                <w:bCs/>
                <w:color w:val="FFFFFF"/>
                <w:sz w:val="22"/>
                <w:szCs w:val="22"/>
                <w:lang w:eastAsia="en-GB"/>
              </w:rPr>
            </w:pPr>
            <w:r w:rsidRPr="006B3AA0">
              <w:rPr>
                <w:rFonts w:ascii="Calibri" w:eastAsia="Times New Roman" w:hAnsi="Calibri" w:cs="Times New Roman"/>
                <w:b/>
                <w:bCs/>
                <w:color w:val="FFFFFF"/>
                <w:sz w:val="22"/>
                <w:szCs w:val="22"/>
                <w:lang w:eastAsia="en-GB"/>
              </w:rPr>
              <w:t>NHS Days</w:t>
            </w:r>
          </w:p>
        </w:tc>
        <w:tc>
          <w:tcPr>
            <w:tcW w:w="550" w:type="pct"/>
            <w:shd w:val="clear" w:color="4F81BD" w:fill="4F81BD"/>
            <w:noWrap/>
            <w:vAlign w:val="bottom"/>
            <w:hideMark/>
          </w:tcPr>
          <w:p w:rsidR="00090628" w:rsidRPr="006B3AA0" w:rsidRDefault="002E29C1" w:rsidP="00090628">
            <w:pPr>
              <w:autoSpaceDE/>
              <w:autoSpaceDN/>
              <w:adjustRightInd/>
              <w:spacing w:after="0"/>
              <w:jc w:val="left"/>
              <w:rPr>
                <w:rFonts w:ascii="Calibri" w:eastAsia="Times New Roman" w:hAnsi="Calibri" w:cs="Times New Roman"/>
                <w:b/>
                <w:bCs/>
                <w:color w:val="FFFFFF"/>
                <w:sz w:val="22"/>
                <w:szCs w:val="22"/>
                <w:lang w:eastAsia="en-GB"/>
              </w:rPr>
            </w:pPr>
            <w:r w:rsidRPr="006B3AA0">
              <w:rPr>
                <w:rFonts w:ascii="Calibri" w:eastAsia="Times New Roman" w:hAnsi="Calibri" w:cs="Times New Roman"/>
                <w:b/>
                <w:bCs/>
                <w:color w:val="FFFFFF"/>
                <w:sz w:val="22"/>
                <w:szCs w:val="22"/>
                <w:lang w:eastAsia="en-GB"/>
              </w:rPr>
              <w:t>Social Care Days</w:t>
            </w:r>
          </w:p>
        </w:tc>
        <w:tc>
          <w:tcPr>
            <w:tcW w:w="474" w:type="pct"/>
            <w:shd w:val="clear" w:color="4F81BD" w:fill="4F81BD"/>
            <w:noWrap/>
            <w:vAlign w:val="bottom"/>
            <w:hideMark/>
          </w:tcPr>
          <w:p w:rsidR="00090628" w:rsidRPr="006B3AA0" w:rsidRDefault="002E29C1" w:rsidP="00090628">
            <w:pPr>
              <w:autoSpaceDE/>
              <w:autoSpaceDN/>
              <w:adjustRightInd/>
              <w:spacing w:after="0"/>
              <w:jc w:val="left"/>
              <w:rPr>
                <w:rFonts w:ascii="Calibri" w:eastAsia="Times New Roman" w:hAnsi="Calibri" w:cs="Times New Roman"/>
                <w:b/>
                <w:bCs/>
                <w:color w:val="FFFFFF"/>
                <w:sz w:val="22"/>
                <w:szCs w:val="22"/>
                <w:lang w:eastAsia="en-GB"/>
              </w:rPr>
            </w:pPr>
            <w:r w:rsidRPr="006B3AA0">
              <w:rPr>
                <w:rFonts w:ascii="Calibri" w:eastAsia="Times New Roman" w:hAnsi="Calibri" w:cs="Times New Roman"/>
                <w:b/>
                <w:bCs/>
                <w:color w:val="FFFFFF"/>
                <w:sz w:val="22"/>
                <w:szCs w:val="22"/>
                <w:lang w:eastAsia="en-GB"/>
              </w:rPr>
              <w:t>NHS and Social Care Days</w:t>
            </w:r>
          </w:p>
        </w:tc>
        <w:tc>
          <w:tcPr>
            <w:tcW w:w="510" w:type="pct"/>
            <w:shd w:val="clear" w:color="4F81BD" w:fill="4F81BD"/>
            <w:noWrap/>
            <w:vAlign w:val="bottom"/>
            <w:hideMark/>
          </w:tcPr>
          <w:p w:rsidR="00090628" w:rsidRPr="006B3AA0" w:rsidRDefault="002E29C1" w:rsidP="00090628">
            <w:pPr>
              <w:autoSpaceDE/>
              <w:autoSpaceDN/>
              <w:adjustRightInd/>
              <w:spacing w:after="0"/>
              <w:jc w:val="left"/>
              <w:rPr>
                <w:rFonts w:ascii="Calibri" w:eastAsia="Times New Roman" w:hAnsi="Calibri" w:cs="Times New Roman"/>
                <w:b/>
                <w:bCs/>
                <w:color w:val="FFFFFF"/>
                <w:sz w:val="22"/>
                <w:szCs w:val="22"/>
                <w:lang w:eastAsia="en-GB"/>
              </w:rPr>
            </w:pPr>
            <w:r w:rsidRPr="006B3AA0">
              <w:rPr>
                <w:rFonts w:ascii="Calibri" w:eastAsia="Times New Roman" w:hAnsi="Calibri" w:cs="Times New Roman"/>
                <w:b/>
                <w:bCs/>
                <w:color w:val="FFFFFF"/>
                <w:sz w:val="22"/>
                <w:szCs w:val="22"/>
                <w:lang w:eastAsia="en-GB"/>
              </w:rPr>
              <w:t>Total Days</w:t>
            </w:r>
          </w:p>
        </w:tc>
        <w:tc>
          <w:tcPr>
            <w:tcW w:w="512" w:type="pct"/>
            <w:shd w:val="clear" w:color="4F81BD" w:fill="4F81BD"/>
            <w:noWrap/>
            <w:vAlign w:val="bottom"/>
            <w:hideMark/>
          </w:tcPr>
          <w:p w:rsidR="00090628" w:rsidRPr="006B3AA0" w:rsidRDefault="002E29C1" w:rsidP="00090628">
            <w:pPr>
              <w:autoSpaceDE/>
              <w:autoSpaceDN/>
              <w:adjustRightInd/>
              <w:spacing w:after="0"/>
              <w:jc w:val="left"/>
              <w:rPr>
                <w:rFonts w:ascii="Calibri" w:eastAsia="Times New Roman" w:hAnsi="Calibri" w:cs="Times New Roman"/>
                <w:b/>
                <w:bCs/>
                <w:color w:val="FFFFFF"/>
                <w:sz w:val="22"/>
                <w:szCs w:val="22"/>
                <w:lang w:eastAsia="en-GB"/>
              </w:rPr>
            </w:pPr>
            <w:r w:rsidRPr="006B3AA0">
              <w:rPr>
                <w:rFonts w:ascii="Calibri" w:eastAsia="Times New Roman" w:hAnsi="Calibri" w:cs="Times New Roman"/>
                <w:b/>
                <w:bCs/>
                <w:color w:val="FFFFFF"/>
                <w:sz w:val="22"/>
                <w:szCs w:val="22"/>
                <w:lang w:eastAsia="en-GB"/>
              </w:rPr>
              <w:t>NHS Days</w:t>
            </w:r>
          </w:p>
        </w:tc>
        <w:tc>
          <w:tcPr>
            <w:tcW w:w="515" w:type="pct"/>
            <w:shd w:val="clear" w:color="4F81BD" w:fill="4F81BD"/>
            <w:noWrap/>
            <w:vAlign w:val="bottom"/>
            <w:hideMark/>
          </w:tcPr>
          <w:p w:rsidR="00090628" w:rsidRPr="006B3AA0" w:rsidRDefault="002E29C1" w:rsidP="00090628">
            <w:pPr>
              <w:autoSpaceDE/>
              <w:autoSpaceDN/>
              <w:adjustRightInd/>
              <w:spacing w:after="0"/>
              <w:jc w:val="left"/>
              <w:rPr>
                <w:rFonts w:ascii="Calibri" w:eastAsia="Times New Roman" w:hAnsi="Calibri" w:cs="Times New Roman"/>
                <w:b/>
                <w:bCs/>
                <w:color w:val="FFFFFF"/>
                <w:sz w:val="22"/>
                <w:szCs w:val="22"/>
                <w:lang w:eastAsia="en-GB"/>
              </w:rPr>
            </w:pPr>
            <w:r w:rsidRPr="006B3AA0">
              <w:rPr>
                <w:rFonts w:ascii="Calibri" w:eastAsia="Times New Roman" w:hAnsi="Calibri" w:cs="Times New Roman"/>
                <w:b/>
                <w:bCs/>
                <w:color w:val="FFFFFF"/>
                <w:sz w:val="22"/>
                <w:szCs w:val="22"/>
                <w:lang w:eastAsia="en-GB"/>
              </w:rPr>
              <w:t>Social Care Days</w:t>
            </w:r>
          </w:p>
        </w:tc>
        <w:tc>
          <w:tcPr>
            <w:tcW w:w="507" w:type="pct"/>
            <w:shd w:val="clear" w:color="4F81BD" w:fill="4F81BD"/>
            <w:noWrap/>
            <w:vAlign w:val="bottom"/>
            <w:hideMark/>
          </w:tcPr>
          <w:p w:rsidR="00090628" w:rsidRPr="006B3AA0" w:rsidRDefault="002E29C1" w:rsidP="00090628">
            <w:pPr>
              <w:autoSpaceDE/>
              <w:autoSpaceDN/>
              <w:adjustRightInd/>
              <w:spacing w:after="0"/>
              <w:jc w:val="left"/>
              <w:rPr>
                <w:rFonts w:ascii="Calibri" w:eastAsia="Times New Roman" w:hAnsi="Calibri" w:cs="Times New Roman"/>
                <w:b/>
                <w:bCs/>
                <w:color w:val="FFFFFF"/>
                <w:sz w:val="22"/>
                <w:szCs w:val="22"/>
                <w:lang w:eastAsia="en-GB"/>
              </w:rPr>
            </w:pPr>
            <w:r w:rsidRPr="006B3AA0">
              <w:rPr>
                <w:rFonts w:ascii="Calibri" w:eastAsia="Times New Roman" w:hAnsi="Calibri" w:cs="Times New Roman"/>
                <w:b/>
                <w:bCs/>
                <w:color w:val="FFFFFF"/>
                <w:sz w:val="22"/>
                <w:szCs w:val="22"/>
                <w:lang w:eastAsia="en-GB"/>
              </w:rPr>
              <w:t>NHS Days</w:t>
            </w:r>
          </w:p>
        </w:tc>
        <w:tc>
          <w:tcPr>
            <w:tcW w:w="518" w:type="pct"/>
            <w:shd w:val="clear" w:color="4F81BD" w:fill="4F81BD"/>
            <w:noWrap/>
            <w:vAlign w:val="bottom"/>
            <w:hideMark/>
          </w:tcPr>
          <w:p w:rsidR="00090628" w:rsidRPr="006B3AA0" w:rsidRDefault="002E29C1" w:rsidP="00090628">
            <w:pPr>
              <w:autoSpaceDE/>
              <w:autoSpaceDN/>
              <w:adjustRightInd/>
              <w:spacing w:after="0"/>
              <w:jc w:val="left"/>
              <w:rPr>
                <w:rFonts w:ascii="Calibri" w:eastAsia="Times New Roman" w:hAnsi="Calibri" w:cs="Times New Roman"/>
                <w:b/>
                <w:bCs/>
                <w:color w:val="FFFFFF"/>
                <w:sz w:val="22"/>
                <w:szCs w:val="22"/>
                <w:lang w:eastAsia="en-GB"/>
              </w:rPr>
            </w:pPr>
            <w:r w:rsidRPr="006B3AA0">
              <w:rPr>
                <w:rFonts w:ascii="Calibri" w:eastAsia="Times New Roman" w:hAnsi="Calibri" w:cs="Times New Roman"/>
                <w:b/>
                <w:bCs/>
                <w:color w:val="FFFFFF"/>
                <w:sz w:val="22"/>
                <w:szCs w:val="22"/>
                <w:lang w:eastAsia="en-GB"/>
              </w:rPr>
              <w:t>Social Care Days</w:t>
            </w:r>
          </w:p>
        </w:tc>
      </w:tr>
      <w:tr w:rsidR="00040D04" w:rsidTr="00CE3F4F">
        <w:trPr>
          <w:trHeight w:val="300"/>
        </w:trPr>
        <w:tc>
          <w:tcPr>
            <w:tcW w:w="941" w:type="pct"/>
            <w:shd w:val="clear" w:color="auto" w:fill="auto"/>
            <w:noWrap/>
            <w:vAlign w:val="bottom"/>
            <w:hideMark/>
          </w:tcPr>
          <w:p w:rsidR="00090628" w:rsidRPr="006B3AA0" w:rsidRDefault="002E29C1" w:rsidP="00090628">
            <w:pPr>
              <w:autoSpaceDE/>
              <w:autoSpaceDN/>
              <w:adjustRightInd/>
              <w:spacing w:after="0"/>
              <w:ind w:firstLineChars="100" w:firstLine="220"/>
              <w:jc w:val="lef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Aug-17</w:t>
            </w:r>
          </w:p>
        </w:tc>
        <w:tc>
          <w:tcPr>
            <w:tcW w:w="473"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1780</w:t>
            </w:r>
          </w:p>
        </w:tc>
        <w:tc>
          <w:tcPr>
            <w:tcW w:w="550"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2306</w:t>
            </w:r>
          </w:p>
        </w:tc>
        <w:tc>
          <w:tcPr>
            <w:tcW w:w="474"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297</w:t>
            </w:r>
          </w:p>
        </w:tc>
        <w:tc>
          <w:tcPr>
            <w:tcW w:w="510"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4383</w:t>
            </w:r>
          </w:p>
        </w:tc>
        <w:tc>
          <w:tcPr>
            <w:tcW w:w="512"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23019</w:t>
            </w:r>
          </w:p>
        </w:tc>
        <w:tc>
          <w:tcPr>
            <w:tcW w:w="515"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19099</w:t>
            </w:r>
          </w:p>
        </w:tc>
        <w:tc>
          <w:tcPr>
            <w:tcW w:w="507"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100455</w:t>
            </w:r>
          </w:p>
        </w:tc>
        <w:tc>
          <w:tcPr>
            <w:tcW w:w="518"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66851</w:t>
            </w:r>
          </w:p>
        </w:tc>
      </w:tr>
      <w:tr w:rsidR="00040D04" w:rsidTr="00CE3F4F">
        <w:trPr>
          <w:trHeight w:val="300"/>
        </w:trPr>
        <w:tc>
          <w:tcPr>
            <w:tcW w:w="941" w:type="pct"/>
            <w:shd w:val="clear" w:color="auto" w:fill="auto"/>
            <w:noWrap/>
            <w:vAlign w:val="bottom"/>
          </w:tcPr>
          <w:p w:rsidR="00090628" w:rsidRPr="006B3AA0" w:rsidRDefault="00AC7EBD" w:rsidP="00090628">
            <w:pPr>
              <w:autoSpaceDE/>
              <w:autoSpaceDN/>
              <w:adjustRightInd/>
              <w:spacing w:after="0"/>
              <w:ind w:firstLineChars="100" w:firstLine="220"/>
              <w:jc w:val="left"/>
              <w:rPr>
                <w:rFonts w:ascii="Calibri" w:eastAsia="Times New Roman" w:hAnsi="Calibri" w:cs="Times New Roman"/>
                <w:sz w:val="22"/>
                <w:szCs w:val="22"/>
                <w:lang w:eastAsia="en-GB"/>
              </w:rPr>
            </w:pPr>
          </w:p>
        </w:tc>
        <w:tc>
          <w:tcPr>
            <w:tcW w:w="473" w:type="pct"/>
            <w:shd w:val="clear" w:color="auto" w:fill="auto"/>
            <w:noWrap/>
            <w:vAlign w:val="bottom"/>
          </w:tcPr>
          <w:p w:rsidR="00090628" w:rsidRPr="006B3AA0" w:rsidRDefault="00AC7EBD" w:rsidP="00090628">
            <w:pPr>
              <w:autoSpaceDE/>
              <w:autoSpaceDN/>
              <w:adjustRightInd/>
              <w:spacing w:after="0"/>
              <w:jc w:val="right"/>
              <w:rPr>
                <w:rFonts w:ascii="Calibri" w:eastAsia="Times New Roman" w:hAnsi="Calibri" w:cs="Times New Roman"/>
                <w:sz w:val="22"/>
                <w:szCs w:val="22"/>
                <w:lang w:eastAsia="en-GB"/>
              </w:rPr>
            </w:pPr>
          </w:p>
        </w:tc>
        <w:tc>
          <w:tcPr>
            <w:tcW w:w="550" w:type="pct"/>
            <w:shd w:val="clear" w:color="auto" w:fill="auto"/>
            <w:noWrap/>
            <w:vAlign w:val="bottom"/>
          </w:tcPr>
          <w:p w:rsidR="00090628" w:rsidRPr="006B3AA0" w:rsidRDefault="00AC7EBD" w:rsidP="00090628">
            <w:pPr>
              <w:autoSpaceDE/>
              <w:autoSpaceDN/>
              <w:adjustRightInd/>
              <w:spacing w:after="0"/>
              <w:jc w:val="right"/>
              <w:rPr>
                <w:rFonts w:ascii="Calibri" w:eastAsia="Times New Roman" w:hAnsi="Calibri" w:cs="Times New Roman"/>
                <w:sz w:val="22"/>
                <w:szCs w:val="22"/>
                <w:lang w:eastAsia="en-GB"/>
              </w:rPr>
            </w:pPr>
          </w:p>
        </w:tc>
        <w:tc>
          <w:tcPr>
            <w:tcW w:w="474" w:type="pct"/>
            <w:shd w:val="clear" w:color="auto" w:fill="auto"/>
            <w:noWrap/>
            <w:vAlign w:val="bottom"/>
          </w:tcPr>
          <w:p w:rsidR="00090628" w:rsidRPr="006B3AA0" w:rsidRDefault="00AC7EBD" w:rsidP="00090628">
            <w:pPr>
              <w:autoSpaceDE/>
              <w:autoSpaceDN/>
              <w:adjustRightInd/>
              <w:spacing w:after="0"/>
              <w:jc w:val="right"/>
              <w:rPr>
                <w:rFonts w:ascii="Calibri" w:eastAsia="Times New Roman" w:hAnsi="Calibri" w:cs="Times New Roman"/>
                <w:sz w:val="22"/>
                <w:szCs w:val="22"/>
                <w:lang w:eastAsia="en-GB"/>
              </w:rPr>
            </w:pPr>
          </w:p>
        </w:tc>
        <w:tc>
          <w:tcPr>
            <w:tcW w:w="510" w:type="pct"/>
            <w:shd w:val="clear" w:color="auto" w:fill="auto"/>
            <w:noWrap/>
            <w:vAlign w:val="bottom"/>
          </w:tcPr>
          <w:p w:rsidR="00090628" w:rsidRPr="006B3AA0" w:rsidRDefault="00AC7EBD" w:rsidP="00090628">
            <w:pPr>
              <w:autoSpaceDE/>
              <w:autoSpaceDN/>
              <w:adjustRightInd/>
              <w:spacing w:after="0"/>
              <w:jc w:val="right"/>
              <w:rPr>
                <w:rFonts w:ascii="Calibri" w:eastAsia="Times New Roman" w:hAnsi="Calibri" w:cs="Times New Roman"/>
                <w:sz w:val="22"/>
                <w:szCs w:val="22"/>
                <w:lang w:eastAsia="en-GB"/>
              </w:rPr>
            </w:pPr>
          </w:p>
        </w:tc>
        <w:tc>
          <w:tcPr>
            <w:tcW w:w="512" w:type="pct"/>
            <w:shd w:val="clear" w:color="auto" w:fill="auto"/>
            <w:noWrap/>
            <w:vAlign w:val="bottom"/>
          </w:tcPr>
          <w:p w:rsidR="00090628" w:rsidRPr="006B3AA0" w:rsidRDefault="00AC7EBD" w:rsidP="00090628">
            <w:pPr>
              <w:autoSpaceDE/>
              <w:autoSpaceDN/>
              <w:adjustRightInd/>
              <w:spacing w:after="0"/>
              <w:jc w:val="right"/>
              <w:rPr>
                <w:rFonts w:ascii="Calibri" w:eastAsia="Times New Roman" w:hAnsi="Calibri" w:cs="Times New Roman"/>
                <w:sz w:val="22"/>
                <w:szCs w:val="22"/>
                <w:lang w:eastAsia="en-GB"/>
              </w:rPr>
            </w:pPr>
          </w:p>
        </w:tc>
        <w:tc>
          <w:tcPr>
            <w:tcW w:w="515" w:type="pct"/>
            <w:shd w:val="clear" w:color="auto" w:fill="auto"/>
            <w:noWrap/>
            <w:vAlign w:val="bottom"/>
          </w:tcPr>
          <w:p w:rsidR="00090628" w:rsidRPr="006B3AA0" w:rsidRDefault="00AC7EBD" w:rsidP="00090628">
            <w:pPr>
              <w:autoSpaceDE/>
              <w:autoSpaceDN/>
              <w:adjustRightInd/>
              <w:spacing w:after="0"/>
              <w:jc w:val="right"/>
              <w:rPr>
                <w:rFonts w:ascii="Calibri" w:eastAsia="Times New Roman" w:hAnsi="Calibri" w:cs="Times New Roman"/>
                <w:sz w:val="22"/>
                <w:szCs w:val="22"/>
                <w:lang w:eastAsia="en-GB"/>
              </w:rPr>
            </w:pPr>
          </w:p>
        </w:tc>
        <w:tc>
          <w:tcPr>
            <w:tcW w:w="507" w:type="pct"/>
            <w:shd w:val="clear" w:color="auto" w:fill="auto"/>
            <w:noWrap/>
            <w:vAlign w:val="bottom"/>
          </w:tcPr>
          <w:p w:rsidR="00090628" w:rsidRPr="006B3AA0" w:rsidRDefault="00AC7EBD" w:rsidP="00090628">
            <w:pPr>
              <w:autoSpaceDE/>
              <w:autoSpaceDN/>
              <w:adjustRightInd/>
              <w:spacing w:after="0"/>
              <w:jc w:val="right"/>
              <w:rPr>
                <w:rFonts w:ascii="Calibri" w:eastAsia="Times New Roman" w:hAnsi="Calibri" w:cs="Times New Roman"/>
                <w:sz w:val="22"/>
                <w:szCs w:val="22"/>
                <w:lang w:eastAsia="en-GB"/>
              </w:rPr>
            </w:pPr>
          </w:p>
        </w:tc>
        <w:tc>
          <w:tcPr>
            <w:tcW w:w="518" w:type="pct"/>
            <w:shd w:val="clear" w:color="auto" w:fill="auto"/>
            <w:noWrap/>
            <w:vAlign w:val="bottom"/>
          </w:tcPr>
          <w:p w:rsidR="00090628" w:rsidRPr="006B3AA0" w:rsidRDefault="00AC7EBD" w:rsidP="00090628">
            <w:pPr>
              <w:autoSpaceDE/>
              <w:autoSpaceDN/>
              <w:adjustRightInd/>
              <w:spacing w:after="0"/>
              <w:jc w:val="right"/>
              <w:rPr>
                <w:rFonts w:ascii="Calibri" w:eastAsia="Times New Roman" w:hAnsi="Calibri" w:cs="Times New Roman"/>
                <w:sz w:val="22"/>
                <w:szCs w:val="22"/>
                <w:lang w:eastAsia="en-GB"/>
              </w:rPr>
            </w:pPr>
          </w:p>
        </w:tc>
      </w:tr>
      <w:tr w:rsidR="00040D04" w:rsidTr="00CE3F4F">
        <w:trPr>
          <w:trHeight w:val="300"/>
        </w:trPr>
        <w:tc>
          <w:tcPr>
            <w:tcW w:w="941" w:type="pct"/>
            <w:shd w:val="clear" w:color="auto" w:fill="auto"/>
            <w:noWrap/>
            <w:vAlign w:val="bottom"/>
            <w:hideMark/>
          </w:tcPr>
          <w:p w:rsidR="00090628" w:rsidRPr="006B3AA0" w:rsidRDefault="002E29C1" w:rsidP="00090628">
            <w:pPr>
              <w:autoSpaceDE/>
              <w:autoSpaceDN/>
              <w:adjustRightInd/>
              <w:spacing w:after="0"/>
              <w:ind w:firstLineChars="100" w:firstLine="220"/>
              <w:jc w:val="lef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Dec-17</w:t>
            </w:r>
          </w:p>
        </w:tc>
        <w:tc>
          <w:tcPr>
            <w:tcW w:w="473"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1661</w:t>
            </w:r>
          </w:p>
        </w:tc>
        <w:tc>
          <w:tcPr>
            <w:tcW w:w="550"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1811</w:t>
            </w:r>
          </w:p>
        </w:tc>
        <w:tc>
          <w:tcPr>
            <w:tcW w:w="474"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431</w:t>
            </w:r>
          </w:p>
        </w:tc>
        <w:tc>
          <w:tcPr>
            <w:tcW w:w="510"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3903</w:t>
            </w:r>
          </w:p>
        </w:tc>
        <w:tc>
          <w:tcPr>
            <w:tcW w:w="512"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20955</w:t>
            </w:r>
          </w:p>
        </w:tc>
        <w:tc>
          <w:tcPr>
            <w:tcW w:w="515"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13630</w:t>
            </w:r>
          </w:p>
        </w:tc>
        <w:tc>
          <w:tcPr>
            <w:tcW w:w="507"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84607</w:t>
            </w:r>
          </w:p>
        </w:tc>
        <w:tc>
          <w:tcPr>
            <w:tcW w:w="518"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48734</w:t>
            </w:r>
          </w:p>
        </w:tc>
      </w:tr>
      <w:tr w:rsidR="00040D04" w:rsidTr="00CE3F4F">
        <w:trPr>
          <w:trHeight w:val="300"/>
        </w:trPr>
        <w:tc>
          <w:tcPr>
            <w:tcW w:w="941" w:type="pct"/>
            <w:shd w:val="clear" w:color="auto" w:fill="auto"/>
            <w:noWrap/>
            <w:vAlign w:val="bottom"/>
            <w:hideMark/>
          </w:tcPr>
          <w:p w:rsidR="00090628" w:rsidRPr="006B3AA0" w:rsidRDefault="002E29C1" w:rsidP="00090628">
            <w:pPr>
              <w:autoSpaceDE/>
              <w:autoSpaceDN/>
              <w:adjustRightInd/>
              <w:spacing w:after="0"/>
              <w:ind w:firstLineChars="100" w:firstLine="220"/>
              <w:jc w:val="lef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Jan-18</w:t>
            </w:r>
          </w:p>
        </w:tc>
        <w:tc>
          <w:tcPr>
            <w:tcW w:w="473"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1557</w:t>
            </w:r>
          </w:p>
        </w:tc>
        <w:tc>
          <w:tcPr>
            <w:tcW w:w="550"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1634</w:t>
            </w:r>
          </w:p>
        </w:tc>
        <w:tc>
          <w:tcPr>
            <w:tcW w:w="474"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288</w:t>
            </w:r>
          </w:p>
        </w:tc>
        <w:tc>
          <w:tcPr>
            <w:tcW w:w="510"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3479</w:t>
            </w:r>
          </w:p>
        </w:tc>
        <w:tc>
          <w:tcPr>
            <w:tcW w:w="512"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22459</w:t>
            </w:r>
          </w:p>
        </w:tc>
        <w:tc>
          <w:tcPr>
            <w:tcW w:w="515"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14300</w:t>
            </w:r>
          </w:p>
        </w:tc>
        <w:tc>
          <w:tcPr>
            <w:tcW w:w="507"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90709</w:t>
            </w:r>
          </w:p>
        </w:tc>
        <w:tc>
          <w:tcPr>
            <w:tcW w:w="518"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49105</w:t>
            </w:r>
          </w:p>
        </w:tc>
      </w:tr>
      <w:tr w:rsidR="00040D04" w:rsidTr="00CE3F4F">
        <w:trPr>
          <w:trHeight w:val="300"/>
        </w:trPr>
        <w:tc>
          <w:tcPr>
            <w:tcW w:w="941" w:type="pct"/>
            <w:shd w:val="clear" w:color="auto" w:fill="auto"/>
            <w:noWrap/>
            <w:vAlign w:val="bottom"/>
            <w:hideMark/>
          </w:tcPr>
          <w:p w:rsidR="00090628" w:rsidRPr="006B3AA0" w:rsidRDefault="002E29C1" w:rsidP="00090628">
            <w:pPr>
              <w:autoSpaceDE/>
              <w:autoSpaceDN/>
              <w:adjustRightInd/>
              <w:spacing w:after="0"/>
              <w:ind w:firstLineChars="100" w:firstLine="220"/>
              <w:jc w:val="lef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Feb-18</w:t>
            </w:r>
          </w:p>
        </w:tc>
        <w:tc>
          <w:tcPr>
            <w:tcW w:w="473"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1907</w:t>
            </w:r>
          </w:p>
        </w:tc>
        <w:tc>
          <w:tcPr>
            <w:tcW w:w="550"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1216</w:t>
            </w:r>
          </w:p>
        </w:tc>
        <w:tc>
          <w:tcPr>
            <w:tcW w:w="474"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282</w:t>
            </w:r>
          </w:p>
        </w:tc>
        <w:tc>
          <w:tcPr>
            <w:tcW w:w="510"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3405</w:t>
            </w:r>
          </w:p>
        </w:tc>
        <w:tc>
          <w:tcPr>
            <w:tcW w:w="512"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20545</w:t>
            </w:r>
          </w:p>
        </w:tc>
        <w:tc>
          <w:tcPr>
            <w:tcW w:w="515"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12515</w:t>
            </w:r>
          </w:p>
        </w:tc>
        <w:tc>
          <w:tcPr>
            <w:tcW w:w="507"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84140</w:t>
            </w:r>
          </w:p>
        </w:tc>
        <w:tc>
          <w:tcPr>
            <w:tcW w:w="518"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44938</w:t>
            </w:r>
          </w:p>
        </w:tc>
      </w:tr>
      <w:tr w:rsidR="00040D04" w:rsidTr="00CE3F4F">
        <w:trPr>
          <w:trHeight w:val="300"/>
        </w:trPr>
        <w:tc>
          <w:tcPr>
            <w:tcW w:w="941" w:type="pct"/>
            <w:shd w:val="clear" w:color="auto" w:fill="auto"/>
            <w:noWrap/>
            <w:vAlign w:val="bottom"/>
            <w:hideMark/>
          </w:tcPr>
          <w:p w:rsidR="00090628" w:rsidRPr="006B3AA0" w:rsidRDefault="002E29C1" w:rsidP="00090628">
            <w:pPr>
              <w:autoSpaceDE/>
              <w:autoSpaceDN/>
              <w:adjustRightInd/>
              <w:spacing w:after="0"/>
              <w:ind w:firstLineChars="100" w:firstLine="220"/>
              <w:jc w:val="lef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Mar-18</w:t>
            </w:r>
          </w:p>
        </w:tc>
        <w:tc>
          <w:tcPr>
            <w:tcW w:w="473"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2356</w:t>
            </w:r>
          </w:p>
        </w:tc>
        <w:tc>
          <w:tcPr>
            <w:tcW w:w="550"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1232</w:t>
            </w:r>
          </w:p>
        </w:tc>
        <w:tc>
          <w:tcPr>
            <w:tcW w:w="474"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127</w:t>
            </w:r>
          </w:p>
        </w:tc>
        <w:tc>
          <w:tcPr>
            <w:tcW w:w="510"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3715</w:t>
            </w:r>
          </w:p>
        </w:tc>
        <w:tc>
          <w:tcPr>
            <w:tcW w:w="512"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24910</w:t>
            </w:r>
          </w:p>
        </w:tc>
        <w:tc>
          <w:tcPr>
            <w:tcW w:w="515"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13420</w:t>
            </w:r>
          </w:p>
        </w:tc>
        <w:tc>
          <w:tcPr>
            <w:tcW w:w="507"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95172</w:t>
            </w:r>
          </w:p>
        </w:tc>
        <w:tc>
          <w:tcPr>
            <w:tcW w:w="518"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47457</w:t>
            </w:r>
          </w:p>
        </w:tc>
      </w:tr>
      <w:tr w:rsidR="00040D04" w:rsidTr="00CE3F4F">
        <w:trPr>
          <w:trHeight w:val="300"/>
        </w:trPr>
        <w:tc>
          <w:tcPr>
            <w:tcW w:w="941" w:type="pct"/>
            <w:shd w:val="clear" w:color="auto" w:fill="auto"/>
            <w:noWrap/>
            <w:vAlign w:val="bottom"/>
            <w:hideMark/>
          </w:tcPr>
          <w:p w:rsidR="00090628" w:rsidRPr="006B3AA0" w:rsidRDefault="002E29C1" w:rsidP="00090628">
            <w:pPr>
              <w:autoSpaceDE/>
              <w:autoSpaceDN/>
              <w:adjustRightInd/>
              <w:spacing w:after="0"/>
              <w:ind w:firstLineChars="100" w:firstLine="220"/>
              <w:jc w:val="lef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Apr-18</w:t>
            </w:r>
          </w:p>
        </w:tc>
        <w:tc>
          <w:tcPr>
            <w:tcW w:w="473"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2221</w:t>
            </w:r>
          </w:p>
        </w:tc>
        <w:tc>
          <w:tcPr>
            <w:tcW w:w="550"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995</w:t>
            </w:r>
          </w:p>
        </w:tc>
        <w:tc>
          <w:tcPr>
            <w:tcW w:w="474"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207</w:t>
            </w:r>
          </w:p>
        </w:tc>
        <w:tc>
          <w:tcPr>
            <w:tcW w:w="510"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3423</w:t>
            </w:r>
          </w:p>
        </w:tc>
        <w:tc>
          <w:tcPr>
            <w:tcW w:w="512"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22981</w:t>
            </w:r>
          </w:p>
        </w:tc>
        <w:tc>
          <w:tcPr>
            <w:tcW w:w="515"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12271</w:t>
            </w:r>
          </w:p>
        </w:tc>
        <w:tc>
          <w:tcPr>
            <w:tcW w:w="507"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90557</w:t>
            </w:r>
          </w:p>
        </w:tc>
        <w:tc>
          <w:tcPr>
            <w:tcW w:w="518"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43902</w:t>
            </w:r>
          </w:p>
        </w:tc>
      </w:tr>
      <w:tr w:rsidR="00040D04" w:rsidTr="00CE3F4F">
        <w:trPr>
          <w:trHeight w:val="300"/>
        </w:trPr>
        <w:tc>
          <w:tcPr>
            <w:tcW w:w="941" w:type="pct"/>
            <w:shd w:val="clear" w:color="auto" w:fill="auto"/>
            <w:noWrap/>
            <w:vAlign w:val="bottom"/>
            <w:hideMark/>
          </w:tcPr>
          <w:p w:rsidR="00090628" w:rsidRPr="006B3AA0" w:rsidRDefault="002E29C1" w:rsidP="00090628">
            <w:pPr>
              <w:autoSpaceDE/>
              <w:autoSpaceDN/>
              <w:adjustRightInd/>
              <w:spacing w:after="0"/>
              <w:ind w:firstLineChars="100" w:firstLine="220"/>
              <w:jc w:val="lef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May-18</w:t>
            </w:r>
          </w:p>
        </w:tc>
        <w:tc>
          <w:tcPr>
            <w:tcW w:w="473"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1855</w:t>
            </w:r>
          </w:p>
        </w:tc>
        <w:tc>
          <w:tcPr>
            <w:tcW w:w="550"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1147</w:t>
            </w:r>
          </w:p>
        </w:tc>
        <w:tc>
          <w:tcPr>
            <w:tcW w:w="474"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154</w:t>
            </w:r>
          </w:p>
        </w:tc>
        <w:tc>
          <w:tcPr>
            <w:tcW w:w="510"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3156</w:t>
            </w:r>
          </w:p>
        </w:tc>
        <w:tc>
          <w:tcPr>
            <w:tcW w:w="512"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22751</w:t>
            </w:r>
          </w:p>
        </w:tc>
        <w:tc>
          <w:tcPr>
            <w:tcW w:w="515"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11405</w:t>
            </w:r>
          </w:p>
        </w:tc>
        <w:tc>
          <w:tcPr>
            <w:tcW w:w="507"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88158</w:t>
            </w:r>
          </w:p>
        </w:tc>
        <w:tc>
          <w:tcPr>
            <w:tcW w:w="518"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41281</w:t>
            </w:r>
          </w:p>
        </w:tc>
      </w:tr>
      <w:tr w:rsidR="00040D04" w:rsidTr="00CE3F4F">
        <w:trPr>
          <w:trHeight w:val="300"/>
        </w:trPr>
        <w:tc>
          <w:tcPr>
            <w:tcW w:w="941" w:type="pct"/>
            <w:shd w:val="clear" w:color="auto" w:fill="auto"/>
            <w:noWrap/>
            <w:vAlign w:val="bottom"/>
            <w:hideMark/>
          </w:tcPr>
          <w:p w:rsidR="00090628" w:rsidRPr="006B3AA0" w:rsidRDefault="002E29C1" w:rsidP="00090628">
            <w:pPr>
              <w:autoSpaceDE/>
              <w:autoSpaceDN/>
              <w:adjustRightInd/>
              <w:spacing w:after="0"/>
              <w:ind w:firstLineChars="100" w:firstLine="220"/>
              <w:jc w:val="lef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Jun-18</w:t>
            </w:r>
          </w:p>
        </w:tc>
        <w:tc>
          <w:tcPr>
            <w:tcW w:w="473"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1508</w:t>
            </w:r>
          </w:p>
        </w:tc>
        <w:tc>
          <w:tcPr>
            <w:tcW w:w="550"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1093</w:t>
            </w:r>
          </w:p>
        </w:tc>
        <w:tc>
          <w:tcPr>
            <w:tcW w:w="474"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157</w:t>
            </w:r>
          </w:p>
        </w:tc>
        <w:tc>
          <w:tcPr>
            <w:tcW w:w="510"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2758</w:t>
            </w:r>
          </w:p>
        </w:tc>
        <w:tc>
          <w:tcPr>
            <w:tcW w:w="512"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20743</w:t>
            </w:r>
          </w:p>
        </w:tc>
        <w:tc>
          <w:tcPr>
            <w:tcW w:w="515"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11288</w:t>
            </w:r>
          </w:p>
        </w:tc>
        <w:tc>
          <w:tcPr>
            <w:tcW w:w="507"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84124</w:t>
            </w:r>
          </w:p>
        </w:tc>
        <w:tc>
          <w:tcPr>
            <w:tcW w:w="518"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40209</w:t>
            </w:r>
          </w:p>
        </w:tc>
      </w:tr>
      <w:tr w:rsidR="00040D04" w:rsidTr="00CE3F4F">
        <w:trPr>
          <w:trHeight w:val="300"/>
        </w:trPr>
        <w:tc>
          <w:tcPr>
            <w:tcW w:w="941" w:type="pct"/>
            <w:shd w:val="clear" w:color="auto" w:fill="auto"/>
            <w:noWrap/>
            <w:vAlign w:val="bottom"/>
            <w:hideMark/>
          </w:tcPr>
          <w:p w:rsidR="00090628" w:rsidRPr="006B3AA0" w:rsidRDefault="002E29C1" w:rsidP="00090628">
            <w:pPr>
              <w:autoSpaceDE/>
              <w:autoSpaceDN/>
              <w:adjustRightInd/>
              <w:spacing w:after="0"/>
              <w:ind w:firstLineChars="100" w:firstLine="220"/>
              <w:jc w:val="lef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Jul-18</w:t>
            </w:r>
          </w:p>
        </w:tc>
        <w:tc>
          <w:tcPr>
            <w:tcW w:w="473"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1634</w:t>
            </w:r>
          </w:p>
        </w:tc>
        <w:tc>
          <w:tcPr>
            <w:tcW w:w="550"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1054</w:t>
            </w:r>
          </w:p>
        </w:tc>
        <w:tc>
          <w:tcPr>
            <w:tcW w:w="474"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209</w:t>
            </w:r>
          </w:p>
        </w:tc>
        <w:tc>
          <w:tcPr>
            <w:tcW w:w="510"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2897</w:t>
            </w:r>
          </w:p>
        </w:tc>
        <w:tc>
          <w:tcPr>
            <w:tcW w:w="512"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21194</w:t>
            </w:r>
          </w:p>
        </w:tc>
        <w:tc>
          <w:tcPr>
            <w:tcW w:w="515"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11651</w:t>
            </w:r>
          </w:p>
        </w:tc>
        <w:tc>
          <w:tcPr>
            <w:tcW w:w="507"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86082</w:t>
            </w:r>
          </w:p>
        </w:tc>
        <w:tc>
          <w:tcPr>
            <w:tcW w:w="518" w:type="pct"/>
            <w:shd w:val="clear" w:color="auto" w:fill="auto"/>
            <w:noWrap/>
            <w:vAlign w:val="bottom"/>
            <w:hideMark/>
          </w:tcPr>
          <w:p w:rsidR="00090628" w:rsidRPr="006B3AA0" w:rsidRDefault="002E29C1" w:rsidP="00090628">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42684</w:t>
            </w:r>
          </w:p>
        </w:tc>
      </w:tr>
      <w:tr w:rsidR="00040D04" w:rsidTr="00CE3F4F">
        <w:trPr>
          <w:trHeight w:val="300"/>
        </w:trPr>
        <w:tc>
          <w:tcPr>
            <w:tcW w:w="941" w:type="pct"/>
            <w:shd w:val="clear" w:color="auto" w:fill="auto"/>
            <w:noWrap/>
            <w:vAlign w:val="bottom"/>
            <w:hideMark/>
          </w:tcPr>
          <w:p w:rsidR="00CE3F4F" w:rsidRPr="006B3AA0" w:rsidRDefault="002E29C1" w:rsidP="00CE3F4F">
            <w:pPr>
              <w:autoSpaceDE/>
              <w:autoSpaceDN/>
              <w:adjustRightInd/>
              <w:spacing w:after="0"/>
              <w:ind w:firstLineChars="100" w:firstLine="220"/>
              <w:jc w:val="lef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Aug-18</w:t>
            </w:r>
          </w:p>
        </w:tc>
        <w:tc>
          <w:tcPr>
            <w:tcW w:w="473" w:type="pct"/>
            <w:shd w:val="clear" w:color="auto" w:fill="auto"/>
            <w:noWrap/>
            <w:vAlign w:val="bottom"/>
            <w:hideMark/>
          </w:tcPr>
          <w:p w:rsidR="00CE3F4F" w:rsidRPr="006B3AA0" w:rsidRDefault="002E29C1" w:rsidP="00CE3F4F">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1568</w:t>
            </w:r>
          </w:p>
        </w:tc>
        <w:tc>
          <w:tcPr>
            <w:tcW w:w="550" w:type="pct"/>
            <w:shd w:val="clear" w:color="auto" w:fill="auto"/>
            <w:noWrap/>
            <w:vAlign w:val="bottom"/>
            <w:hideMark/>
          </w:tcPr>
          <w:p w:rsidR="00CE3F4F" w:rsidRPr="006B3AA0" w:rsidRDefault="002E29C1" w:rsidP="00CE3F4F">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1232</w:t>
            </w:r>
          </w:p>
        </w:tc>
        <w:tc>
          <w:tcPr>
            <w:tcW w:w="474" w:type="pct"/>
            <w:shd w:val="clear" w:color="auto" w:fill="auto"/>
            <w:noWrap/>
            <w:vAlign w:val="bottom"/>
            <w:hideMark/>
          </w:tcPr>
          <w:p w:rsidR="00CE3F4F" w:rsidRPr="006B3AA0" w:rsidRDefault="002E29C1" w:rsidP="00CE3F4F">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184</w:t>
            </w:r>
          </w:p>
        </w:tc>
        <w:tc>
          <w:tcPr>
            <w:tcW w:w="510" w:type="pct"/>
            <w:shd w:val="clear" w:color="auto" w:fill="auto"/>
            <w:noWrap/>
            <w:vAlign w:val="bottom"/>
            <w:hideMark/>
          </w:tcPr>
          <w:p w:rsidR="00CE3F4F" w:rsidRPr="006B3AA0" w:rsidRDefault="002E29C1" w:rsidP="00CE3F4F">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2984</w:t>
            </w:r>
          </w:p>
        </w:tc>
        <w:tc>
          <w:tcPr>
            <w:tcW w:w="512" w:type="pct"/>
            <w:shd w:val="clear" w:color="auto" w:fill="auto"/>
            <w:noWrap/>
            <w:vAlign w:val="bottom"/>
            <w:hideMark/>
          </w:tcPr>
          <w:p w:rsidR="00CE3F4F" w:rsidRDefault="002E29C1" w:rsidP="00CE3F4F">
            <w:pPr>
              <w:autoSpaceDE/>
              <w:autoSpaceDN/>
              <w:adjustRightInd/>
              <w:spacing w:after="0"/>
              <w:jc w:val="right"/>
              <w:rPr>
                <w:rFonts w:ascii="Calibri" w:eastAsia="Times New Roman" w:hAnsi="Calibri" w:cs="Times New Roman"/>
                <w:sz w:val="22"/>
                <w:szCs w:val="22"/>
                <w:lang w:eastAsia="en-GB"/>
              </w:rPr>
            </w:pPr>
            <w:r>
              <w:rPr>
                <w:rFonts w:ascii="Calibri" w:hAnsi="Calibri"/>
                <w:sz w:val="22"/>
                <w:szCs w:val="22"/>
              </w:rPr>
              <w:t>22504</w:t>
            </w:r>
          </w:p>
        </w:tc>
        <w:tc>
          <w:tcPr>
            <w:tcW w:w="515" w:type="pct"/>
            <w:shd w:val="clear" w:color="auto" w:fill="auto"/>
            <w:noWrap/>
            <w:vAlign w:val="bottom"/>
            <w:hideMark/>
          </w:tcPr>
          <w:p w:rsidR="00CE3F4F" w:rsidRDefault="002E29C1" w:rsidP="00CE3F4F">
            <w:pPr>
              <w:spacing w:after="0"/>
              <w:jc w:val="right"/>
              <w:rPr>
                <w:rFonts w:ascii="Calibri" w:hAnsi="Calibri"/>
                <w:sz w:val="22"/>
                <w:szCs w:val="22"/>
              </w:rPr>
            </w:pPr>
            <w:r>
              <w:rPr>
                <w:rFonts w:ascii="Calibri" w:hAnsi="Calibri"/>
                <w:sz w:val="22"/>
                <w:szCs w:val="22"/>
              </w:rPr>
              <w:t>11985</w:t>
            </w:r>
          </w:p>
        </w:tc>
        <w:tc>
          <w:tcPr>
            <w:tcW w:w="507" w:type="pct"/>
            <w:shd w:val="clear" w:color="auto" w:fill="auto"/>
            <w:noWrap/>
            <w:vAlign w:val="bottom"/>
            <w:hideMark/>
          </w:tcPr>
          <w:p w:rsidR="00CE3F4F" w:rsidRDefault="002E29C1" w:rsidP="00CE3F4F">
            <w:pPr>
              <w:spacing w:after="0"/>
              <w:jc w:val="right"/>
              <w:rPr>
                <w:rFonts w:ascii="Calibri" w:hAnsi="Calibri"/>
                <w:sz w:val="22"/>
                <w:szCs w:val="22"/>
              </w:rPr>
            </w:pPr>
            <w:r>
              <w:rPr>
                <w:rFonts w:ascii="Calibri" w:hAnsi="Calibri"/>
                <w:sz w:val="22"/>
                <w:szCs w:val="22"/>
              </w:rPr>
              <w:t>89253</w:t>
            </w:r>
          </w:p>
        </w:tc>
        <w:tc>
          <w:tcPr>
            <w:tcW w:w="518" w:type="pct"/>
            <w:shd w:val="clear" w:color="auto" w:fill="auto"/>
            <w:noWrap/>
            <w:vAlign w:val="bottom"/>
            <w:hideMark/>
          </w:tcPr>
          <w:p w:rsidR="00CE3F4F" w:rsidRDefault="002E29C1" w:rsidP="00CE3F4F">
            <w:pPr>
              <w:spacing w:after="0"/>
              <w:jc w:val="right"/>
              <w:rPr>
                <w:rFonts w:ascii="Calibri" w:hAnsi="Calibri"/>
                <w:sz w:val="22"/>
                <w:szCs w:val="22"/>
              </w:rPr>
            </w:pPr>
            <w:r>
              <w:rPr>
                <w:rFonts w:ascii="Calibri" w:hAnsi="Calibri"/>
                <w:sz w:val="22"/>
                <w:szCs w:val="22"/>
              </w:rPr>
              <w:t>45637</w:t>
            </w:r>
          </w:p>
        </w:tc>
      </w:tr>
      <w:tr w:rsidR="00040D04" w:rsidTr="00CE3F4F">
        <w:trPr>
          <w:trHeight w:val="315"/>
        </w:trPr>
        <w:tc>
          <w:tcPr>
            <w:tcW w:w="941" w:type="pct"/>
            <w:shd w:val="clear" w:color="4F81BD" w:fill="4F81BD"/>
            <w:noWrap/>
            <w:vAlign w:val="bottom"/>
            <w:hideMark/>
          </w:tcPr>
          <w:p w:rsidR="00CE3F4F" w:rsidRPr="006B3AA0" w:rsidRDefault="002E29C1" w:rsidP="00CE3F4F">
            <w:pPr>
              <w:autoSpaceDE/>
              <w:autoSpaceDN/>
              <w:adjustRightInd/>
              <w:spacing w:after="0"/>
              <w:jc w:val="left"/>
              <w:rPr>
                <w:rFonts w:ascii="Calibri" w:eastAsia="Times New Roman" w:hAnsi="Calibri" w:cs="Times New Roman"/>
                <w:color w:val="FFFFFF"/>
                <w:sz w:val="22"/>
                <w:szCs w:val="22"/>
                <w:lang w:eastAsia="en-GB"/>
              </w:rPr>
            </w:pPr>
            <w:r w:rsidRPr="006B3AA0">
              <w:rPr>
                <w:rFonts w:ascii="Calibri" w:eastAsia="Times New Roman" w:hAnsi="Calibri" w:cs="Times New Roman"/>
                <w:color w:val="FFFFFF"/>
                <w:sz w:val="22"/>
                <w:szCs w:val="22"/>
                <w:lang w:eastAsia="en-GB"/>
              </w:rPr>
              <w:t>Diff (Jul-Aug)</w:t>
            </w:r>
          </w:p>
        </w:tc>
        <w:tc>
          <w:tcPr>
            <w:tcW w:w="473" w:type="pct"/>
            <w:shd w:val="clear" w:color="auto" w:fill="auto"/>
            <w:noWrap/>
            <w:vAlign w:val="bottom"/>
            <w:hideMark/>
          </w:tcPr>
          <w:p w:rsidR="00CE3F4F" w:rsidRPr="006B3AA0" w:rsidRDefault="002E29C1" w:rsidP="00CE3F4F">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-66</w:t>
            </w:r>
          </w:p>
        </w:tc>
        <w:tc>
          <w:tcPr>
            <w:tcW w:w="550" w:type="pct"/>
            <w:shd w:val="clear" w:color="auto" w:fill="auto"/>
            <w:noWrap/>
            <w:vAlign w:val="bottom"/>
            <w:hideMark/>
          </w:tcPr>
          <w:p w:rsidR="00CE3F4F" w:rsidRPr="006B3AA0" w:rsidRDefault="002E29C1" w:rsidP="00CE3F4F">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178</w:t>
            </w:r>
          </w:p>
        </w:tc>
        <w:tc>
          <w:tcPr>
            <w:tcW w:w="474" w:type="pct"/>
            <w:shd w:val="clear" w:color="auto" w:fill="auto"/>
            <w:noWrap/>
            <w:vAlign w:val="bottom"/>
            <w:hideMark/>
          </w:tcPr>
          <w:p w:rsidR="00CE3F4F" w:rsidRPr="006B3AA0" w:rsidRDefault="002E29C1" w:rsidP="00CE3F4F">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-25</w:t>
            </w:r>
          </w:p>
        </w:tc>
        <w:tc>
          <w:tcPr>
            <w:tcW w:w="510" w:type="pct"/>
            <w:shd w:val="clear" w:color="auto" w:fill="auto"/>
            <w:noWrap/>
            <w:vAlign w:val="bottom"/>
            <w:hideMark/>
          </w:tcPr>
          <w:p w:rsidR="00CE3F4F" w:rsidRPr="006B3AA0" w:rsidRDefault="002E29C1" w:rsidP="00CE3F4F">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87</w:t>
            </w:r>
          </w:p>
        </w:tc>
        <w:tc>
          <w:tcPr>
            <w:tcW w:w="512" w:type="pct"/>
            <w:shd w:val="clear" w:color="auto" w:fill="auto"/>
            <w:noWrap/>
            <w:vAlign w:val="bottom"/>
          </w:tcPr>
          <w:p w:rsidR="00CE3F4F" w:rsidRDefault="002E29C1" w:rsidP="00CE3F4F">
            <w:pPr>
              <w:spacing w:after="0"/>
              <w:jc w:val="right"/>
              <w:rPr>
                <w:rFonts w:ascii="Calibri" w:hAnsi="Calibri"/>
                <w:sz w:val="22"/>
                <w:szCs w:val="22"/>
              </w:rPr>
            </w:pPr>
            <w:r>
              <w:rPr>
                <w:rFonts w:ascii="Calibri" w:hAnsi="Calibri"/>
                <w:sz w:val="22"/>
                <w:szCs w:val="22"/>
              </w:rPr>
              <w:t>1310</w:t>
            </w:r>
          </w:p>
        </w:tc>
        <w:tc>
          <w:tcPr>
            <w:tcW w:w="515" w:type="pct"/>
            <w:shd w:val="clear" w:color="auto" w:fill="auto"/>
            <w:noWrap/>
            <w:vAlign w:val="bottom"/>
          </w:tcPr>
          <w:p w:rsidR="00CE3F4F" w:rsidRDefault="002E29C1" w:rsidP="00CE3F4F">
            <w:pPr>
              <w:spacing w:after="0"/>
              <w:jc w:val="right"/>
              <w:rPr>
                <w:rFonts w:ascii="Calibri" w:hAnsi="Calibri"/>
                <w:sz w:val="22"/>
                <w:szCs w:val="22"/>
              </w:rPr>
            </w:pPr>
            <w:r>
              <w:rPr>
                <w:rFonts w:ascii="Calibri" w:hAnsi="Calibri"/>
                <w:sz w:val="22"/>
                <w:szCs w:val="22"/>
              </w:rPr>
              <w:t>334</w:t>
            </w:r>
          </w:p>
        </w:tc>
        <w:tc>
          <w:tcPr>
            <w:tcW w:w="507" w:type="pct"/>
            <w:shd w:val="clear" w:color="auto" w:fill="auto"/>
            <w:noWrap/>
            <w:vAlign w:val="bottom"/>
          </w:tcPr>
          <w:p w:rsidR="00CE3F4F" w:rsidRDefault="002E29C1" w:rsidP="00CE3F4F">
            <w:pPr>
              <w:spacing w:after="0"/>
              <w:jc w:val="right"/>
              <w:rPr>
                <w:rFonts w:ascii="Calibri" w:hAnsi="Calibri"/>
                <w:sz w:val="22"/>
                <w:szCs w:val="22"/>
              </w:rPr>
            </w:pPr>
            <w:r>
              <w:rPr>
                <w:rFonts w:ascii="Calibri" w:hAnsi="Calibri"/>
                <w:sz w:val="22"/>
                <w:szCs w:val="22"/>
              </w:rPr>
              <w:t>3171</w:t>
            </w:r>
          </w:p>
        </w:tc>
        <w:tc>
          <w:tcPr>
            <w:tcW w:w="518" w:type="pct"/>
            <w:shd w:val="clear" w:color="auto" w:fill="auto"/>
            <w:noWrap/>
            <w:vAlign w:val="bottom"/>
          </w:tcPr>
          <w:p w:rsidR="00CE3F4F" w:rsidRDefault="002E29C1" w:rsidP="00CE3F4F">
            <w:pPr>
              <w:spacing w:after="0"/>
              <w:jc w:val="right"/>
              <w:rPr>
                <w:rFonts w:ascii="Calibri" w:hAnsi="Calibri"/>
                <w:sz w:val="22"/>
                <w:szCs w:val="22"/>
              </w:rPr>
            </w:pPr>
            <w:r>
              <w:rPr>
                <w:rFonts w:ascii="Calibri" w:hAnsi="Calibri"/>
                <w:sz w:val="22"/>
                <w:szCs w:val="22"/>
              </w:rPr>
              <w:t>2953</w:t>
            </w:r>
          </w:p>
        </w:tc>
      </w:tr>
      <w:tr w:rsidR="00040D04" w:rsidTr="00CE3F4F">
        <w:trPr>
          <w:trHeight w:val="300"/>
        </w:trPr>
        <w:tc>
          <w:tcPr>
            <w:tcW w:w="941" w:type="pct"/>
            <w:shd w:val="clear" w:color="4F81BD" w:fill="4F81BD"/>
            <w:noWrap/>
            <w:vAlign w:val="bottom"/>
            <w:hideMark/>
          </w:tcPr>
          <w:p w:rsidR="00CE3F4F" w:rsidRPr="006B3AA0" w:rsidRDefault="002E29C1" w:rsidP="00CE3F4F">
            <w:pPr>
              <w:autoSpaceDE/>
              <w:autoSpaceDN/>
              <w:adjustRightInd/>
              <w:spacing w:after="0"/>
              <w:jc w:val="left"/>
              <w:rPr>
                <w:rFonts w:ascii="Calibri" w:eastAsia="Times New Roman" w:hAnsi="Calibri" w:cs="Times New Roman"/>
                <w:color w:val="FFFFFF"/>
                <w:sz w:val="22"/>
                <w:szCs w:val="22"/>
                <w:lang w:eastAsia="en-GB"/>
              </w:rPr>
            </w:pPr>
            <w:r w:rsidRPr="006B3AA0">
              <w:rPr>
                <w:rFonts w:ascii="Calibri" w:eastAsia="Times New Roman" w:hAnsi="Calibri" w:cs="Times New Roman"/>
                <w:color w:val="FFFFFF"/>
                <w:sz w:val="22"/>
                <w:szCs w:val="22"/>
                <w:lang w:eastAsia="en-GB"/>
              </w:rPr>
              <w:t>%diff (Jul-Aug)</w:t>
            </w:r>
          </w:p>
        </w:tc>
        <w:tc>
          <w:tcPr>
            <w:tcW w:w="473" w:type="pct"/>
            <w:shd w:val="clear" w:color="auto" w:fill="auto"/>
            <w:noWrap/>
            <w:vAlign w:val="bottom"/>
            <w:hideMark/>
          </w:tcPr>
          <w:p w:rsidR="00CE3F4F" w:rsidRPr="006B3AA0" w:rsidRDefault="002E29C1" w:rsidP="00CE3F4F">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-4.0%</w:t>
            </w:r>
          </w:p>
        </w:tc>
        <w:tc>
          <w:tcPr>
            <w:tcW w:w="550" w:type="pct"/>
            <w:shd w:val="clear" w:color="auto" w:fill="auto"/>
            <w:noWrap/>
            <w:vAlign w:val="bottom"/>
            <w:hideMark/>
          </w:tcPr>
          <w:p w:rsidR="00CE3F4F" w:rsidRPr="006B3AA0" w:rsidRDefault="002E29C1" w:rsidP="00CE3F4F">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16.9%</w:t>
            </w:r>
          </w:p>
        </w:tc>
        <w:tc>
          <w:tcPr>
            <w:tcW w:w="474" w:type="pct"/>
            <w:shd w:val="clear" w:color="auto" w:fill="auto"/>
            <w:noWrap/>
            <w:vAlign w:val="bottom"/>
            <w:hideMark/>
          </w:tcPr>
          <w:p w:rsidR="00CE3F4F" w:rsidRPr="006B3AA0" w:rsidRDefault="002E29C1" w:rsidP="00CE3F4F">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-12.0%</w:t>
            </w:r>
          </w:p>
        </w:tc>
        <w:tc>
          <w:tcPr>
            <w:tcW w:w="510" w:type="pct"/>
            <w:shd w:val="clear" w:color="auto" w:fill="auto"/>
            <w:noWrap/>
            <w:vAlign w:val="bottom"/>
            <w:hideMark/>
          </w:tcPr>
          <w:p w:rsidR="00CE3F4F" w:rsidRPr="006B3AA0" w:rsidRDefault="002E29C1" w:rsidP="00CE3F4F">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3.0%</w:t>
            </w:r>
          </w:p>
        </w:tc>
        <w:tc>
          <w:tcPr>
            <w:tcW w:w="512" w:type="pct"/>
            <w:shd w:val="clear" w:color="auto" w:fill="auto"/>
            <w:noWrap/>
            <w:vAlign w:val="bottom"/>
          </w:tcPr>
          <w:p w:rsidR="00CE3F4F" w:rsidRDefault="002E29C1" w:rsidP="00CE3F4F">
            <w:pPr>
              <w:spacing w:after="0"/>
              <w:jc w:val="right"/>
              <w:rPr>
                <w:rFonts w:ascii="Calibri" w:hAnsi="Calibri"/>
                <w:sz w:val="22"/>
                <w:szCs w:val="22"/>
              </w:rPr>
            </w:pPr>
            <w:r>
              <w:rPr>
                <w:rFonts w:ascii="Calibri" w:hAnsi="Calibri"/>
                <w:sz w:val="22"/>
                <w:szCs w:val="22"/>
              </w:rPr>
              <w:t>6.2%</w:t>
            </w:r>
          </w:p>
        </w:tc>
        <w:tc>
          <w:tcPr>
            <w:tcW w:w="515" w:type="pct"/>
            <w:shd w:val="clear" w:color="auto" w:fill="auto"/>
            <w:noWrap/>
            <w:vAlign w:val="bottom"/>
          </w:tcPr>
          <w:p w:rsidR="00CE3F4F" w:rsidRDefault="002E29C1" w:rsidP="00CE3F4F">
            <w:pPr>
              <w:spacing w:after="0"/>
              <w:jc w:val="right"/>
              <w:rPr>
                <w:rFonts w:ascii="Calibri" w:hAnsi="Calibri"/>
                <w:sz w:val="22"/>
                <w:szCs w:val="22"/>
              </w:rPr>
            </w:pPr>
            <w:r>
              <w:rPr>
                <w:rFonts w:ascii="Calibri" w:hAnsi="Calibri"/>
                <w:sz w:val="22"/>
                <w:szCs w:val="22"/>
              </w:rPr>
              <w:t>2.9%</w:t>
            </w:r>
          </w:p>
        </w:tc>
        <w:tc>
          <w:tcPr>
            <w:tcW w:w="507" w:type="pct"/>
            <w:shd w:val="clear" w:color="auto" w:fill="auto"/>
            <w:noWrap/>
            <w:vAlign w:val="bottom"/>
          </w:tcPr>
          <w:p w:rsidR="00CE3F4F" w:rsidRDefault="002E29C1" w:rsidP="00CE3F4F">
            <w:pPr>
              <w:spacing w:after="0"/>
              <w:jc w:val="right"/>
              <w:rPr>
                <w:rFonts w:ascii="Calibri" w:hAnsi="Calibri"/>
                <w:sz w:val="22"/>
                <w:szCs w:val="22"/>
              </w:rPr>
            </w:pPr>
            <w:r>
              <w:rPr>
                <w:rFonts w:ascii="Calibri" w:hAnsi="Calibri"/>
                <w:sz w:val="22"/>
                <w:szCs w:val="22"/>
              </w:rPr>
              <w:t>3.7%</w:t>
            </w:r>
          </w:p>
        </w:tc>
        <w:tc>
          <w:tcPr>
            <w:tcW w:w="518" w:type="pct"/>
            <w:shd w:val="clear" w:color="auto" w:fill="auto"/>
            <w:noWrap/>
            <w:vAlign w:val="bottom"/>
          </w:tcPr>
          <w:p w:rsidR="00CE3F4F" w:rsidRDefault="002E29C1" w:rsidP="00CE3F4F">
            <w:pPr>
              <w:spacing w:after="0"/>
              <w:jc w:val="right"/>
              <w:rPr>
                <w:rFonts w:ascii="Calibri" w:hAnsi="Calibri"/>
                <w:sz w:val="22"/>
                <w:szCs w:val="22"/>
              </w:rPr>
            </w:pPr>
            <w:r>
              <w:rPr>
                <w:rFonts w:ascii="Calibri" w:hAnsi="Calibri"/>
                <w:sz w:val="22"/>
                <w:szCs w:val="22"/>
              </w:rPr>
              <w:t>6.9%</w:t>
            </w:r>
          </w:p>
        </w:tc>
      </w:tr>
      <w:tr w:rsidR="00040D04" w:rsidTr="00CE3F4F">
        <w:trPr>
          <w:trHeight w:val="300"/>
        </w:trPr>
        <w:tc>
          <w:tcPr>
            <w:tcW w:w="941" w:type="pct"/>
            <w:shd w:val="clear" w:color="4F81BD" w:fill="4F81BD"/>
            <w:noWrap/>
            <w:vAlign w:val="bottom"/>
            <w:hideMark/>
          </w:tcPr>
          <w:p w:rsidR="00CE3F4F" w:rsidRPr="006B3AA0" w:rsidRDefault="002E29C1" w:rsidP="00CE3F4F">
            <w:pPr>
              <w:autoSpaceDE/>
              <w:autoSpaceDN/>
              <w:adjustRightInd/>
              <w:spacing w:after="0"/>
              <w:jc w:val="left"/>
              <w:rPr>
                <w:rFonts w:ascii="Calibri" w:eastAsia="Times New Roman" w:hAnsi="Calibri" w:cs="Times New Roman"/>
                <w:color w:val="FFFFFF"/>
                <w:sz w:val="22"/>
                <w:szCs w:val="22"/>
                <w:lang w:eastAsia="en-GB"/>
              </w:rPr>
            </w:pPr>
            <w:r w:rsidRPr="006B3AA0">
              <w:rPr>
                <w:rFonts w:ascii="Calibri" w:eastAsia="Times New Roman" w:hAnsi="Calibri" w:cs="Times New Roman"/>
                <w:color w:val="FFFFFF"/>
                <w:sz w:val="22"/>
                <w:szCs w:val="22"/>
                <w:lang w:eastAsia="en-GB"/>
              </w:rPr>
              <w:t>Diff (Aug-Aug)</w:t>
            </w:r>
          </w:p>
        </w:tc>
        <w:tc>
          <w:tcPr>
            <w:tcW w:w="473" w:type="pct"/>
            <w:shd w:val="clear" w:color="auto" w:fill="auto"/>
            <w:noWrap/>
            <w:vAlign w:val="bottom"/>
            <w:hideMark/>
          </w:tcPr>
          <w:p w:rsidR="00CE3F4F" w:rsidRPr="006B3AA0" w:rsidRDefault="002E29C1" w:rsidP="00CE3F4F">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-212</w:t>
            </w:r>
          </w:p>
        </w:tc>
        <w:tc>
          <w:tcPr>
            <w:tcW w:w="550" w:type="pct"/>
            <w:shd w:val="clear" w:color="auto" w:fill="auto"/>
            <w:noWrap/>
            <w:vAlign w:val="bottom"/>
            <w:hideMark/>
          </w:tcPr>
          <w:p w:rsidR="00CE3F4F" w:rsidRPr="006B3AA0" w:rsidRDefault="002E29C1" w:rsidP="00CE3F4F">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-1074</w:t>
            </w:r>
          </w:p>
        </w:tc>
        <w:tc>
          <w:tcPr>
            <w:tcW w:w="474" w:type="pct"/>
            <w:shd w:val="clear" w:color="auto" w:fill="auto"/>
            <w:noWrap/>
            <w:vAlign w:val="bottom"/>
            <w:hideMark/>
          </w:tcPr>
          <w:p w:rsidR="00CE3F4F" w:rsidRPr="006B3AA0" w:rsidRDefault="002E29C1" w:rsidP="00CE3F4F">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-113</w:t>
            </w:r>
          </w:p>
        </w:tc>
        <w:tc>
          <w:tcPr>
            <w:tcW w:w="510" w:type="pct"/>
            <w:shd w:val="clear" w:color="auto" w:fill="auto"/>
            <w:noWrap/>
            <w:vAlign w:val="bottom"/>
            <w:hideMark/>
          </w:tcPr>
          <w:p w:rsidR="00CE3F4F" w:rsidRPr="006B3AA0" w:rsidRDefault="002E29C1" w:rsidP="00CE3F4F">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-1399</w:t>
            </w:r>
          </w:p>
        </w:tc>
        <w:tc>
          <w:tcPr>
            <w:tcW w:w="512" w:type="pct"/>
            <w:shd w:val="clear" w:color="auto" w:fill="auto"/>
            <w:noWrap/>
            <w:vAlign w:val="bottom"/>
          </w:tcPr>
          <w:p w:rsidR="00CE3F4F" w:rsidRDefault="002E29C1" w:rsidP="00CE3F4F">
            <w:pPr>
              <w:spacing w:after="0"/>
              <w:jc w:val="right"/>
              <w:rPr>
                <w:rFonts w:ascii="Calibri" w:hAnsi="Calibri"/>
                <w:sz w:val="22"/>
                <w:szCs w:val="22"/>
              </w:rPr>
            </w:pPr>
            <w:r>
              <w:rPr>
                <w:rFonts w:ascii="Calibri" w:hAnsi="Calibri"/>
                <w:sz w:val="22"/>
                <w:szCs w:val="22"/>
              </w:rPr>
              <w:t>-515</w:t>
            </w:r>
          </w:p>
        </w:tc>
        <w:tc>
          <w:tcPr>
            <w:tcW w:w="515" w:type="pct"/>
            <w:shd w:val="clear" w:color="auto" w:fill="auto"/>
            <w:noWrap/>
            <w:vAlign w:val="bottom"/>
          </w:tcPr>
          <w:p w:rsidR="00CE3F4F" w:rsidRDefault="002E29C1" w:rsidP="00CE3F4F">
            <w:pPr>
              <w:spacing w:after="0"/>
              <w:jc w:val="right"/>
              <w:rPr>
                <w:rFonts w:ascii="Calibri" w:hAnsi="Calibri"/>
                <w:sz w:val="22"/>
                <w:szCs w:val="22"/>
              </w:rPr>
            </w:pPr>
            <w:r>
              <w:rPr>
                <w:rFonts w:ascii="Calibri" w:hAnsi="Calibri"/>
                <w:sz w:val="22"/>
                <w:szCs w:val="22"/>
              </w:rPr>
              <w:t>-7114</w:t>
            </w:r>
          </w:p>
        </w:tc>
        <w:tc>
          <w:tcPr>
            <w:tcW w:w="507" w:type="pct"/>
            <w:shd w:val="clear" w:color="auto" w:fill="auto"/>
            <w:noWrap/>
            <w:vAlign w:val="bottom"/>
          </w:tcPr>
          <w:p w:rsidR="00CE3F4F" w:rsidRDefault="002E29C1" w:rsidP="00CE3F4F">
            <w:pPr>
              <w:spacing w:after="0"/>
              <w:jc w:val="right"/>
              <w:rPr>
                <w:rFonts w:ascii="Calibri" w:hAnsi="Calibri"/>
                <w:sz w:val="22"/>
                <w:szCs w:val="22"/>
              </w:rPr>
            </w:pPr>
            <w:r>
              <w:rPr>
                <w:rFonts w:ascii="Calibri" w:hAnsi="Calibri"/>
                <w:sz w:val="22"/>
                <w:szCs w:val="22"/>
              </w:rPr>
              <w:t>-11202</w:t>
            </w:r>
          </w:p>
        </w:tc>
        <w:tc>
          <w:tcPr>
            <w:tcW w:w="518" w:type="pct"/>
            <w:shd w:val="clear" w:color="auto" w:fill="auto"/>
            <w:noWrap/>
            <w:vAlign w:val="bottom"/>
          </w:tcPr>
          <w:p w:rsidR="00CE3F4F" w:rsidRDefault="002E29C1" w:rsidP="00CE3F4F">
            <w:pPr>
              <w:spacing w:after="0"/>
              <w:jc w:val="right"/>
              <w:rPr>
                <w:rFonts w:ascii="Calibri" w:hAnsi="Calibri"/>
                <w:sz w:val="22"/>
                <w:szCs w:val="22"/>
              </w:rPr>
            </w:pPr>
            <w:r>
              <w:rPr>
                <w:rFonts w:ascii="Calibri" w:hAnsi="Calibri"/>
                <w:sz w:val="22"/>
                <w:szCs w:val="22"/>
              </w:rPr>
              <w:t>-21214</w:t>
            </w:r>
          </w:p>
        </w:tc>
      </w:tr>
      <w:tr w:rsidR="00040D04" w:rsidTr="00CE3F4F">
        <w:trPr>
          <w:trHeight w:val="300"/>
        </w:trPr>
        <w:tc>
          <w:tcPr>
            <w:tcW w:w="941" w:type="pct"/>
            <w:shd w:val="clear" w:color="4F81BD" w:fill="4F81BD"/>
            <w:noWrap/>
            <w:vAlign w:val="bottom"/>
            <w:hideMark/>
          </w:tcPr>
          <w:p w:rsidR="00CE3F4F" w:rsidRPr="006B3AA0" w:rsidRDefault="002E29C1" w:rsidP="00CE3F4F">
            <w:pPr>
              <w:autoSpaceDE/>
              <w:autoSpaceDN/>
              <w:adjustRightInd/>
              <w:spacing w:after="0"/>
              <w:jc w:val="left"/>
              <w:rPr>
                <w:rFonts w:ascii="Calibri" w:eastAsia="Times New Roman" w:hAnsi="Calibri" w:cs="Times New Roman"/>
                <w:color w:val="FFFFFF"/>
                <w:sz w:val="22"/>
                <w:szCs w:val="22"/>
                <w:lang w:eastAsia="en-GB"/>
              </w:rPr>
            </w:pPr>
            <w:r w:rsidRPr="006B3AA0">
              <w:rPr>
                <w:rFonts w:ascii="Calibri" w:eastAsia="Times New Roman" w:hAnsi="Calibri" w:cs="Times New Roman"/>
                <w:color w:val="FFFFFF"/>
                <w:sz w:val="22"/>
                <w:szCs w:val="22"/>
                <w:lang w:eastAsia="en-GB"/>
              </w:rPr>
              <w:t>%diff (Aug-Aug)</w:t>
            </w:r>
          </w:p>
        </w:tc>
        <w:tc>
          <w:tcPr>
            <w:tcW w:w="473" w:type="pct"/>
            <w:shd w:val="clear" w:color="auto" w:fill="auto"/>
            <w:noWrap/>
            <w:vAlign w:val="bottom"/>
            <w:hideMark/>
          </w:tcPr>
          <w:p w:rsidR="00CE3F4F" w:rsidRPr="006B3AA0" w:rsidRDefault="002E29C1" w:rsidP="00CE3F4F">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-11.9%</w:t>
            </w:r>
          </w:p>
        </w:tc>
        <w:tc>
          <w:tcPr>
            <w:tcW w:w="550" w:type="pct"/>
            <w:shd w:val="clear" w:color="auto" w:fill="auto"/>
            <w:noWrap/>
            <w:vAlign w:val="bottom"/>
            <w:hideMark/>
          </w:tcPr>
          <w:p w:rsidR="00CE3F4F" w:rsidRPr="006B3AA0" w:rsidRDefault="002E29C1" w:rsidP="00CE3F4F">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-46.6%</w:t>
            </w:r>
          </w:p>
        </w:tc>
        <w:tc>
          <w:tcPr>
            <w:tcW w:w="474" w:type="pct"/>
            <w:shd w:val="clear" w:color="auto" w:fill="auto"/>
            <w:noWrap/>
            <w:vAlign w:val="bottom"/>
            <w:hideMark/>
          </w:tcPr>
          <w:p w:rsidR="00CE3F4F" w:rsidRPr="006B3AA0" w:rsidRDefault="002E29C1" w:rsidP="00CE3F4F">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-38.0%</w:t>
            </w:r>
          </w:p>
        </w:tc>
        <w:tc>
          <w:tcPr>
            <w:tcW w:w="510" w:type="pct"/>
            <w:shd w:val="clear" w:color="auto" w:fill="auto"/>
            <w:noWrap/>
            <w:vAlign w:val="bottom"/>
            <w:hideMark/>
          </w:tcPr>
          <w:p w:rsidR="00CE3F4F" w:rsidRPr="006B3AA0" w:rsidRDefault="002E29C1" w:rsidP="00CE3F4F">
            <w:pPr>
              <w:autoSpaceDE/>
              <w:autoSpaceDN/>
              <w:adjustRightInd/>
              <w:spacing w:after="0"/>
              <w:jc w:val="right"/>
              <w:rPr>
                <w:rFonts w:ascii="Calibri" w:eastAsia="Times New Roman" w:hAnsi="Calibri" w:cs="Times New Roman"/>
                <w:sz w:val="22"/>
                <w:szCs w:val="22"/>
                <w:lang w:eastAsia="en-GB"/>
              </w:rPr>
            </w:pPr>
            <w:r w:rsidRPr="006B3AA0">
              <w:rPr>
                <w:rFonts w:ascii="Calibri" w:eastAsia="Times New Roman" w:hAnsi="Calibri" w:cs="Times New Roman"/>
                <w:sz w:val="22"/>
                <w:szCs w:val="22"/>
                <w:lang w:eastAsia="en-GB"/>
              </w:rPr>
              <w:t>-31.9%</w:t>
            </w:r>
          </w:p>
        </w:tc>
        <w:tc>
          <w:tcPr>
            <w:tcW w:w="512" w:type="pct"/>
            <w:shd w:val="clear" w:color="auto" w:fill="auto"/>
            <w:noWrap/>
            <w:vAlign w:val="bottom"/>
          </w:tcPr>
          <w:p w:rsidR="00CE3F4F" w:rsidRDefault="002E29C1" w:rsidP="00CE3F4F">
            <w:pPr>
              <w:spacing w:after="0"/>
              <w:jc w:val="right"/>
              <w:rPr>
                <w:rFonts w:ascii="Calibri" w:hAnsi="Calibri"/>
                <w:sz w:val="22"/>
                <w:szCs w:val="22"/>
              </w:rPr>
            </w:pPr>
            <w:r>
              <w:rPr>
                <w:rFonts w:ascii="Calibri" w:hAnsi="Calibri"/>
                <w:sz w:val="22"/>
                <w:szCs w:val="22"/>
              </w:rPr>
              <w:t>-2.2%</w:t>
            </w:r>
          </w:p>
        </w:tc>
        <w:tc>
          <w:tcPr>
            <w:tcW w:w="515" w:type="pct"/>
            <w:shd w:val="clear" w:color="auto" w:fill="auto"/>
            <w:noWrap/>
            <w:vAlign w:val="bottom"/>
          </w:tcPr>
          <w:p w:rsidR="00CE3F4F" w:rsidRDefault="002E29C1" w:rsidP="00CE3F4F">
            <w:pPr>
              <w:spacing w:after="0"/>
              <w:jc w:val="right"/>
              <w:rPr>
                <w:rFonts w:ascii="Calibri" w:hAnsi="Calibri"/>
                <w:sz w:val="22"/>
                <w:szCs w:val="22"/>
              </w:rPr>
            </w:pPr>
            <w:r>
              <w:rPr>
                <w:rFonts w:ascii="Calibri" w:hAnsi="Calibri"/>
                <w:sz w:val="22"/>
                <w:szCs w:val="22"/>
              </w:rPr>
              <w:t>-37.2%</w:t>
            </w:r>
          </w:p>
        </w:tc>
        <w:tc>
          <w:tcPr>
            <w:tcW w:w="507" w:type="pct"/>
            <w:shd w:val="clear" w:color="auto" w:fill="auto"/>
            <w:noWrap/>
            <w:vAlign w:val="bottom"/>
          </w:tcPr>
          <w:p w:rsidR="00CE3F4F" w:rsidRDefault="002E29C1" w:rsidP="00CE3F4F">
            <w:pPr>
              <w:spacing w:after="0"/>
              <w:jc w:val="right"/>
              <w:rPr>
                <w:rFonts w:ascii="Calibri" w:hAnsi="Calibri"/>
                <w:sz w:val="22"/>
                <w:szCs w:val="22"/>
              </w:rPr>
            </w:pPr>
            <w:r>
              <w:rPr>
                <w:rFonts w:ascii="Calibri" w:hAnsi="Calibri"/>
                <w:sz w:val="22"/>
                <w:szCs w:val="22"/>
              </w:rPr>
              <w:t>-11.2%</w:t>
            </w:r>
          </w:p>
        </w:tc>
        <w:tc>
          <w:tcPr>
            <w:tcW w:w="518" w:type="pct"/>
            <w:shd w:val="clear" w:color="auto" w:fill="auto"/>
            <w:noWrap/>
            <w:vAlign w:val="bottom"/>
          </w:tcPr>
          <w:p w:rsidR="00CE3F4F" w:rsidRDefault="002E29C1" w:rsidP="00CE3F4F">
            <w:pPr>
              <w:spacing w:after="0"/>
              <w:jc w:val="right"/>
              <w:rPr>
                <w:rFonts w:ascii="Calibri" w:hAnsi="Calibri"/>
                <w:sz w:val="22"/>
                <w:szCs w:val="22"/>
              </w:rPr>
            </w:pPr>
            <w:r>
              <w:rPr>
                <w:rFonts w:ascii="Calibri" w:hAnsi="Calibri"/>
                <w:sz w:val="22"/>
                <w:szCs w:val="22"/>
              </w:rPr>
              <w:t>-31.7%</w:t>
            </w:r>
          </w:p>
        </w:tc>
      </w:tr>
    </w:tbl>
    <w:p w:rsidR="00AE5C83" w:rsidRPr="00CE3F4F" w:rsidRDefault="002E29C1" w:rsidP="00C100DE">
      <w:pPr>
        <w:pStyle w:val="BodyText"/>
        <w:spacing w:before="0" w:after="0"/>
        <w:rPr>
          <w:rFonts w:cs="Arial"/>
        </w:rPr>
      </w:pPr>
      <w:r w:rsidRPr="006B3AA0">
        <w:rPr>
          <w:rFonts w:cs="Arial"/>
        </w:rPr>
        <w:lastRenderedPageBreak/>
        <w:t>The 87 days increase for Lancashire includes a decrease of 66 attributable to NHS (a decrease of 4.0</w:t>
      </w:r>
      <w:r w:rsidRPr="00CE3F4F">
        <w:rPr>
          <w:rFonts w:cs="Arial"/>
        </w:rPr>
        <w:t>%), an increase of 178 attributable to social care (an increase of 16.9%), and an increase of 3 days attributable to both (an increase of 1.9%). By comparison, our comparator group shows a 6.2% overall increase in days attributable to NHS and a 2.9% overall increase in days attributable to social care. The total for all authorities has risen by 3.7% for NHS and by 6.9% for social care.</w:t>
      </w:r>
    </w:p>
    <w:p w:rsidR="00AE5C83" w:rsidRPr="00CE3F4F" w:rsidRDefault="00AC7EBD" w:rsidP="00C100DE">
      <w:pPr>
        <w:pStyle w:val="BodyText"/>
        <w:spacing w:before="0" w:after="0"/>
        <w:rPr>
          <w:rFonts w:cs="Arial"/>
        </w:rPr>
      </w:pPr>
    </w:p>
    <w:p w:rsidR="0094232A" w:rsidRPr="006B3AA0" w:rsidRDefault="002E29C1" w:rsidP="00C100DE">
      <w:pPr>
        <w:pStyle w:val="BodyText"/>
        <w:spacing w:before="0" w:after="120"/>
      </w:pPr>
      <w:r w:rsidRPr="00CE3F4F">
        <w:rPr>
          <w:rFonts w:cs="Arial"/>
        </w:rPr>
        <w:t>In comparison with the previous year, the Aug-18 figure of 2984 represents a 31.9% decrease when compared with 4383 days recorded in Aug-17. Days attributable to NHS have decreased by 11.9% from Aug-17 to Aug-18 and days attributable to social care have decreased by</w:t>
      </w:r>
      <w:r w:rsidRPr="006B3AA0">
        <w:rPr>
          <w:rFonts w:cs="Arial"/>
        </w:rPr>
        <w:t xml:space="preserve"> 46.6% over the same period.</w:t>
      </w:r>
    </w:p>
    <w:p w:rsidR="00D17A5F" w:rsidRPr="006B3AA0" w:rsidRDefault="002E29C1" w:rsidP="00D17A5F">
      <w:pPr>
        <w:pStyle w:val="Heading2"/>
      </w:pPr>
      <w:bookmarkStart w:id="8" w:name="_Toc520456201"/>
      <w:r w:rsidRPr="006B3AA0">
        <w:t>Proportions attributable to NHS and social care</w:t>
      </w:r>
      <w:bookmarkEnd w:id="8"/>
    </w:p>
    <w:p w:rsidR="008808AC" w:rsidRPr="00DA694A" w:rsidRDefault="002E29C1" w:rsidP="008808AC">
      <w:pPr>
        <w:spacing w:before="120"/>
        <w:rPr>
          <w:rFonts w:cs="Arial"/>
        </w:rPr>
      </w:pPr>
      <w:r w:rsidRPr="006B3AA0">
        <w:rPr>
          <w:rFonts w:cs="Arial"/>
        </w:rPr>
        <w:t xml:space="preserve">In Aug-18 for </w:t>
      </w:r>
      <w:r w:rsidRPr="008808AC">
        <w:rPr>
          <w:rFonts w:cs="Arial"/>
        </w:rPr>
        <w:t>Lancashire a total of 52.5% of delays were attributable to NHS (down from 56.4%) and 41.3% were attributable to social care (up from 36.4%), compared with the national figures of 61.3% attributable to NHS and 31.3% to social care. Apr-18 is the only month within the past nineteen successive months that Lancashire showed a smaller proportion of delays attributable to social care than the overall national figure.</w:t>
      </w:r>
      <w:r w:rsidRPr="00DA694A">
        <w:rPr>
          <w:rFonts w:cs="Arial"/>
        </w:rPr>
        <w:t xml:space="preserve"> </w:t>
      </w:r>
    </w:p>
    <w:tbl>
      <w:tblPr>
        <w:tblW w:w="9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6"/>
        <w:gridCol w:w="1167"/>
        <w:gridCol w:w="1817"/>
        <w:gridCol w:w="2829"/>
        <w:gridCol w:w="1175"/>
      </w:tblGrid>
      <w:tr w:rsidR="00040D04" w:rsidTr="004447CC">
        <w:trPr>
          <w:trHeight w:val="212"/>
        </w:trPr>
        <w:tc>
          <w:tcPr>
            <w:tcW w:w="2026" w:type="dxa"/>
            <w:shd w:val="clear" w:color="auto" w:fill="auto"/>
            <w:noWrap/>
            <w:vAlign w:val="bottom"/>
            <w:hideMark/>
          </w:tcPr>
          <w:p w:rsidR="00A01532" w:rsidRPr="00A47AEC" w:rsidRDefault="002E29C1" w:rsidP="00A01532">
            <w:pPr>
              <w:autoSpaceDE/>
              <w:autoSpaceDN/>
              <w:adjustRightInd/>
              <w:spacing w:after="0"/>
              <w:jc w:val="right"/>
              <w:rPr>
                <w:rFonts w:ascii="Calibri" w:eastAsia="Times New Roman" w:hAnsi="Calibri" w:cs="Times New Roman"/>
                <w:sz w:val="22"/>
                <w:szCs w:val="22"/>
                <w:lang w:eastAsia="en-GB"/>
              </w:rPr>
            </w:pPr>
            <w:r w:rsidRPr="00A47AEC">
              <w:rPr>
                <w:rFonts w:ascii="Calibri" w:eastAsia="Times New Roman" w:hAnsi="Calibri" w:cs="Times New Roman"/>
                <w:sz w:val="22"/>
                <w:szCs w:val="22"/>
                <w:lang w:eastAsia="en-GB"/>
              </w:rPr>
              <w:t>Aug-18</w:t>
            </w:r>
          </w:p>
        </w:tc>
        <w:tc>
          <w:tcPr>
            <w:tcW w:w="1167" w:type="dxa"/>
            <w:shd w:val="clear" w:color="auto" w:fill="auto"/>
            <w:noWrap/>
            <w:vAlign w:val="bottom"/>
            <w:hideMark/>
          </w:tcPr>
          <w:p w:rsidR="00A01532" w:rsidRPr="00A47AEC" w:rsidRDefault="002E29C1" w:rsidP="00A01532">
            <w:pPr>
              <w:autoSpaceDE/>
              <w:autoSpaceDN/>
              <w:adjustRightInd/>
              <w:spacing w:after="0"/>
              <w:jc w:val="left"/>
              <w:rPr>
                <w:rFonts w:ascii="Calibri" w:eastAsia="Times New Roman" w:hAnsi="Calibri" w:cs="Times New Roman"/>
                <w:sz w:val="22"/>
                <w:szCs w:val="22"/>
                <w:lang w:eastAsia="en-GB"/>
              </w:rPr>
            </w:pPr>
            <w:r w:rsidRPr="00A47AEC">
              <w:rPr>
                <w:rFonts w:ascii="Calibri" w:eastAsia="Times New Roman" w:hAnsi="Calibri" w:cs="Times New Roman"/>
                <w:sz w:val="22"/>
                <w:szCs w:val="22"/>
                <w:lang w:eastAsia="en-GB"/>
              </w:rPr>
              <w:t> </w:t>
            </w:r>
          </w:p>
        </w:tc>
        <w:tc>
          <w:tcPr>
            <w:tcW w:w="1817" w:type="dxa"/>
            <w:shd w:val="clear" w:color="auto" w:fill="auto"/>
            <w:noWrap/>
            <w:vAlign w:val="bottom"/>
            <w:hideMark/>
          </w:tcPr>
          <w:p w:rsidR="00A01532" w:rsidRPr="00A47AEC" w:rsidRDefault="002E29C1" w:rsidP="00A01532">
            <w:pPr>
              <w:autoSpaceDE/>
              <w:autoSpaceDN/>
              <w:adjustRightInd/>
              <w:spacing w:after="0"/>
              <w:jc w:val="left"/>
              <w:rPr>
                <w:rFonts w:ascii="Calibri" w:eastAsia="Times New Roman" w:hAnsi="Calibri" w:cs="Times New Roman"/>
                <w:sz w:val="22"/>
                <w:szCs w:val="22"/>
                <w:lang w:eastAsia="en-GB"/>
              </w:rPr>
            </w:pPr>
            <w:r w:rsidRPr="00A47AEC">
              <w:rPr>
                <w:rFonts w:ascii="Calibri" w:eastAsia="Times New Roman" w:hAnsi="Calibri" w:cs="Times New Roman"/>
                <w:sz w:val="22"/>
                <w:szCs w:val="22"/>
                <w:lang w:eastAsia="en-GB"/>
              </w:rPr>
              <w:t> </w:t>
            </w:r>
          </w:p>
        </w:tc>
        <w:tc>
          <w:tcPr>
            <w:tcW w:w="2829" w:type="dxa"/>
            <w:shd w:val="clear" w:color="auto" w:fill="auto"/>
            <w:noWrap/>
            <w:vAlign w:val="bottom"/>
            <w:hideMark/>
          </w:tcPr>
          <w:p w:rsidR="00A01532" w:rsidRPr="00A47AEC" w:rsidRDefault="002E29C1" w:rsidP="00A01532">
            <w:pPr>
              <w:autoSpaceDE/>
              <w:autoSpaceDN/>
              <w:adjustRightInd/>
              <w:spacing w:after="0"/>
              <w:jc w:val="left"/>
              <w:rPr>
                <w:rFonts w:ascii="Calibri" w:eastAsia="Times New Roman" w:hAnsi="Calibri" w:cs="Times New Roman"/>
                <w:sz w:val="22"/>
                <w:szCs w:val="22"/>
                <w:lang w:eastAsia="en-GB"/>
              </w:rPr>
            </w:pPr>
            <w:r w:rsidRPr="00A47AEC">
              <w:rPr>
                <w:rFonts w:ascii="Calibri" w:eastAsia="Times New Roman" w:hAnsi="Calibri" w:cs="Times New Roman"/>
                <w:sz w:val="22"/>
                <w:szCs w:val="22"/>
                <w:lang w:eastAsia="en-GB"/>
              </w:rPr>
              <w:t> </w:t>
            </w:r>
          </w:p>
        </w:tc>
        <w:tc>
          <w:tcPr>
            <w:tcW w:w="1175" w:type="dxa"/>
            <w:shd w:val="clear" w:color="auto" w:fill="auto"/>
            <w:noWrap/>
            <w:vAlign w:val="bottom"/>
            <w:hideMark/>
          </w:tcPr>
          <w:p w:rsidR="00A01532" w:rsidRPr="00A47AEC" w:rsidRDefault="002E29C1" w:rsidP="00A01532">
            <w:pPr>
              <w:autoSpaceDE/>
              <w:autoSpaceDN/>
              <w:adjustRightInd/>
              <w:spacing w:after="0"/>
              <w:jc w:val="left"/>
              <w:rPr>
                <w:rFonts w:ascii="Calibri" w:eastAsia="Times New Roman" w:hAnsi="Calibri" w:cs="Times New Roman"/>
                <w:sz w:val="22"/>
                <w:szCs w:val="22"/>
                <w:lang w:eastAsia="en-GB"/>
              </w:rPr>
            </w:pPr>
            <w:r w:rsidRPr="00A47AEC">
              <w:rPr>
                <w:rFonts w:ascii="Calibri" w:eastAsia="Times New Roman" w:hAnsi="Calibri" w:cs="Times New Roman"/>
                <w:sz w:val="22"/>
                <w:szCs w:val="22"/>
                <w:lang w:eastAsia="en-GB"/>
              </w:rPr>
              <w:t> </w:t>
            </w:r>
          </w:p>
        </w:tc>
      </w:tr>
      <w:tr w:rsidR="00040D04" w:rsidTr="004447CC">
        <w:trPr>
          <w:trHeight w:val="202"/>
        </w:trPr>
        <w:tc>
          <w:tcPr>
            <w:tcW w:w="2026" w:type="dxa"/>
            <w:shd w:val="clear" w:color="4F81BD" w:fill="4F81BD"/>
            <w:noWrap/>
            <w:vAlign w:val="bottom"/>
            <w:hideMark/>
          </w:tcPr>
          <w:p w:rsidR="00A01532" w:rsidRPr="00A47AEC" w:rsidRDefault="002E29C1" w:rsidP="00A01532">
            <w:pPr>
              <w:autoSpaceDE/>
              <w:autoSpaceDN/>
              <w:adjustRightInd/>
              <w:spacing w:after="0"/>
              <w:jc w:val="left"/>
              <w:rPr>
                <w:rFonts w:ascii="Calibri" w:eastAsia="Times New Roman" w:hAnsi="Calibri" w:cs="Times New Roman"/>
                <w:b/>
                <w:bCs/>
                <w:color w:val="FFFFFF"/>
                <w:sz w:val="22"/>
                <w:szCs w:val="22"/>
                <w:lang w:eastAsia="en-GB"/>
              </w:rPr>
            </w:pPr>
            <w:r w:rsidRPr="00A47AEC">
              <w:rPr>
                <w:rFonts w:ascii="Calibri" w:eastAsia="Times New Roman" w:hAnsi="Calibri" w:cs="Times New Roman"/>
                <w:b/>
                <w:bCs/>
                <w:color w:val="FFFFFF"/>
                <w:sz w:val="22"/>
                <w:szCs w:val="22"/>
                <w:lang w:eastAsia="en-GB"/>
              </w:rPr>
              <w:t>Area</w:t>
            </w:r>
          </w:p>
        </w:tc>
        <w:tc>
          <w:tcPr>
            <w:tcW w:w="1167" w:type="dxa"/>
            <w:shd w:val="clear" w:color="4F81BD" w:fill="4F81BD"/>
            <w:noWrap/>
            <w:vAlign w:val="bottom"/>
            <w:hideMark/>
          </w:tcPr>
          <w:p w:rsidR="00A01532" w:rsidRPr="00A47AEC" w:rsidRDefault="002E29C1" w:rsidP="00A01532">
            <w:pPr>
              <w:autoSpaceDE/>
              <w:autoSpaceDN/>
              <w:adjustRightInd/>
              <w:spacing w:after="0"/>
              <w:jc w:val="left"/>
              <w:rPr>
                <w:rFonts w:ascii="Calibri" w:eastAsia="Times New Roman" w:hAnsi="Calibri" w:cs="Times New Roman"/>
                <w:b/>
                <w:bCs/>
                <w:color w:val="FFFFFF"/>
                <w:sz w:val="22"/>
                <w:szCs w:val="22"/>
                <w:lang w:eastAsia="en-GB"/>
              </w:rPr>
            </w:pPr>
            <w:r w:rsidRPr="00A47AEC">
              <w:rPr>
                <w:rFonts w:ascii="Calibri" w:eastAsia="Times New Roman" w:hAnsi="Calibri" w:cs="Times New Roman"/>
                <w:b/>
                <w:bCs/>
                <w:color w:val="FFFFFF"/>
                <w:sz w:val="22"/>
                <w:szCs w:val="22"/>
                <w:lang w:eastAsia="en-GB"/>
              </w:rPr>
              <w:t>NHS Days</w:t>
            </w:r>
          </w:p>
        </w:tc>
        <w:tc>
          <w:tcPr>
            <w:tcW w:w="1817" w:type="dxa"/>
            <w:shd w:val="clear" w:color="4F81BD" w:fill="4F81BD"/>
            <w:noWrap/>
            <w:vAlign w:val="bottom"/>
            <w:hideMark/>
          </w:tcPr>
          <w:p w:rsidR="00A01532" w:rsidRPr="00A47AEC" w:rsidRDefault="002E29C1" w:rsidP="00A01532">
            <w:pPr>
              <w:autoSpaceDE/>
              <w:autoSpaceDN/>
              <w:adjustRightInd/>
              <w:spacing w:after="0"/>
              <w:jc w:val="left"/>
              <w:rPr>
                <w:rFonts w:ascii="Calibri" w:eastAsia="Times New Roman" w:hAnsi="Calibri" w:cs="Times New Roman"/>
                <w:b/>
                <w:bCs/>
                <w:color w:val="FFFFFF"/>
                <w:sz w:val="22"/>
                <w:szCs w:val="22"/>
                <w:lang w:eastAsia="en-GB"/>
              </w:rPr>
            </w:pPr>
            <w:r w:rsidRPr="00A47AEC">
              <w:rPr>
                <w:rFonts w:ascii="Calibri" w:eastAsia="Times New Roman" w:hAnsi="Calibri" w:cs="Times New Roman"/>
                <w:b/>
                <w:bCs/>
                <w:color w:val="FFFFFF"/>
                <w:sz w:val="22"/>
                <w:szCs w:val="22"/>
                <w:lang w:eastAsia="en-GB"/>
              </w:rPr>
              <w:t>Social Care Days</w:t>
            </w:r>
          </w:p>
        </w:tc>
        <w:tc>
          <w:tcPr>
            <w:tcW w:w="2829" w:type="dxa"/>
            <w:shd w:val="clear" w:color="4F81BD" w:fill="4F81BD"/>
            <w:noWrap/>
            <w:vAlign w:val="bottom"/>
            <w:hideMark/>
          </w:tcPr>
          <w:p w:rsidR="00A01532" w:rsidRPr="00A47AEC" w:rsidRDefault="002E29C1" w:rsidP="00A01532">
            <w:pPr>
              <w:autoSpaceDE/>
              <w:autoSpaceDN/>
              <w:adjustRightInd/>
              <w:spacing w:after="0"/>
              <w:jc w:val="left"/>
              <w:rPr>
                <w:rFonts w:ascii="Calibri" w:eastAsia="Times New Roman" w:hAnsi="Calibri" w:cs="Times New Roman"/>
                <w:b/>
                <w:bCs/>
                <w:color w:val="FFFFFF"/>
                <w:sz w:val="22"/>
                <w:szCs w:val="22"/>
                <w:lang w:eastAsia="en-GB"/>
              </w:rPr>
            </w:pPr>
            <w:r w:rsidRPr="00A47AEC">
              <w:rPr>
                <w:rFonts w:ascii="Calibri" w:eastAsia="Times New Roman" w:hAnsi="Calibri" w:cs="Times New Roman"/>
                <w:b/>
                <w:bCs/>
                <w:color w:val="FFFFFF"/>
                <w:sz w:val="22"/>
                <w:szCs w:val="22"/>
                <w:lang w:eastAsia="en-GB"/>
              </w:rPr>
              <w:t>NHS and Social Care Days</w:t>
            </w:r>
          </w:p>
        </w:tc>
        <w:tc>
          <w:tcPr>
            <w:tcW w:w="1175" w:type="dxa"/>
            <w:shd w:val="clear" w:color="4F81BD" w:fill="4F81BD"/>
            <w:noWrap/>
            <w:vAlign w:val="bottom"/>
            <w:hideMark/>
          </w:tcPr>
          <w:p w:rsidR="00A01532" w:rsidRPr="00A47AEC" w:rsidRDefault="002E29C1" w:rsidP="00A01532">
            <w:pPr>
              <w:autoSpaceDE/>
              <w:autoSpaceDN/>
              <w:adjustRightInd/>
              <w:spacing w:after="0"/>
              <w:jc w:val="left"/>
              <w:rPr>
                <w:rFonts w:ascii="Calibri" w:eastAsia="Times New Roman" w:hAnsi="Calibri" w:cs="Times New Roman"/>
                <w:b/>
                <w:bCs/>
                <w:color w:val="FFFFFF"/>
                <w:sz w:val="22"/>
                <w:szCs w:val="22"/>
                <w:lang w:eastAsia="en-GB"/>
              </w:rPr>
            </w:pPr>
            <w:r w:rsidRPr="00A47AEC">
              <w:rPr>
                <w:rFonts w:ascii="Calibri" w:eastAsia="Times New Roman" w:hAnsi="Calibri" w:cs="Times New Roman"/>
                <w:b/>
                <w:bCs/>
                <w:color w:val="FFFFFF"/>
                <w:sz w:val="22"/>
                <w:szCs w:val="22"/>
                <w:lang w:eastAsia="en-GB"/>
              </w:rPr>
              <w:t>Total Days</w:t>
            </w:r>
          </w:p>
        </w:tc>
      </w:tr>
      <w:tr w:rsidR="00040D04" w:rsidTr="004447CC">
        <w:trPr>
          <w:trHeight w:val="202"/>
        </w:trPr>
        <w:tc>
          <w:tcPr>
            <w:tcW w:w="2026" w:type="dxa"/>
            <w:shd w:val="clear" w:color="auto" w:fill="auto"/>
            <w:noWrap/>
            <w:vAlign w:val="bottom"/>
            <w:hideMark/>
          </w:tcPr>
          <w:p w:rsidR="00A47AEC" w:rsidRPr="00A47AEC" w:rsidRDefault="002E29C1" w:rsidP="00A47AEC">
            <w:pPr>
              <w:autoSpaceDE/>
              <w:autoSpaceDN/>
              <w:adjustRightInd/>
              <w:spacing w:after="0"/>
              <w:jc w:val="left"/>
              <w:rPr>
                <w:rFonts w:ascii="Calibri" w:eastAsia="Times New Roman" w:hAnsi="Calibri" w:cs="Times New Roman"/>
                <w:sz w:val="22"/>
                <w:szCs w:val="22"/>
                <w:lang w:eastAsia="en-GB"/>
              </w:rPr>
            </w:pPr>
            <w:r w:rsidRPr="00A47AEC">
              <w:rPr>
                <w:rFonts w:ascii="Calibri" w:eastAsia="Times New Roman" w:hAnsi="Calibri" w:cs="Times New Roman"/>
                <w:sz w:val="22"/>
                <w:szCs w:val="22"/>
                <w:lang w:eastAsia="en-GB"/>
              </w:rPr>
              <w:t>Lancashire</w:t>
            </w:r>
          </w:p>
        </w:tc>
        <w:tc>
          <w:tcPr>
            <w:tcW w:w="1167" w:type="dxa"/>
            <w:shd w:val="clear" w:color="auto" w:fill="auto"/>
            <w:noWrap/>
            <w:vAlign w:val="bottom"/>
            <w:hideMark/>
          </w:tcPr>
          <w:p w:rsidR="00A47AEC" w:rsidRPr="00A47AEC" w:rsidRDefault="002E29C1" w:rsidP="00A47AEC">
            <w:pPr>
              <w:autoSpaceDE/>
              <w:autoSpaceDN/>
              <w:adjustRightInd/>
              <w:spacing w:after="0"/>
              <w:jc w:val="right"/>
              <w:rPr>
                <w:rFonts w:ascii="Calibri" w:eastAsia="Times New Roman" w:hAnsi="Calibri" w:cs="Times New Roman"/>
                <w:sz w:val="22"/>
                <w:szCs w:val="22"/>
                <w:lang w:eastAsia="en-GB"/>
              </w:rPr>
            </w:pPr>
            <w:r w:rsidRPr="00A47AEC">
              <w:rPr>
                <w:rFonts w:ascii="Calibri" w:hAnsi="Calibri"/>
                <w:sz w:val="22"/>
                <w:szCs w:val="22"/>
              </w:rPr>
              <w:t>52.5%</w:t>
            </w:r>
          </w:p>
        </w:tc>
        <w:tc>
          <w:tcPr>
            <w:tcW w:w="1817" w:type="dxa"/>
            <w:shd w:val="clear" w:color="auto" w:fill="auto"/>
            <w:noWrap/>
            <w:vAlign w:val="bottom"/>
            <w:hideMark/>
          </w:tcPr>
          <w:p w:rsidR="00A47AEC" w:rsidRPr="00A47AEC" w:rsidRDefault="002E29C1" w:rsidP="00A47AEC">
            <w:pPr>
              <w:spacing w:after="0"/>
              <w:jc w:val="right"/>
              <w:rPr>
                <w:rFonts w:ascii="Calibri" w:hAnsi="Calibri"/>
                <w:sz w:val="22"/>
                <w:szCs w:val="22"/>
              </w:rPr>
            </w:pPr>
            <w:r w:rsidRPr="00A47AEC">
              <w:rPr>
                <w:rFonts w:ascii="Calibri" w:hAnsi="Calibri"/>
                <w:sz w:val="22"/>
                <w:szCs w:val="22"/>
              </w:rPr>
              <w:t>41.3%</w:t>
            </w:r>
          </w:p>
        </w:tc>
        <w:tc>
          <w:tcPr>
            <w:tcW w:w="2829" w:type="dxa"/>
            <w:shd w:val="clear" w:color="auto" w:fill="auto"/>
            <w:noWrap/>
            <w:vAlign w:val="bottom"/>
            <w:hideMark/>
          </w:tcPr>
          <w:p w:rsidR="00A47AEC" w:rsidRPr="00A47AEC" w:rsidRDefault="002E29C1" w:rsidP="00A47AEC">
            <w:pPr>
              <w:spacing w:after="0"/>
              <w:jc w:val="right"/>
              <w:rPr>
                <w:rFonts w:ascii="Calibri" w:hAnsi="Calibri"/>
                <w:sz w:val="22"/>
                <w:szCs w:val="22"/>
              </w:rPr>
            </w:pPr>
            <w:r w:rsidRPr="00A47AEC">
              <w:rPr>
                <w:rFonts w:ascii="Calibri" w:hAnsi="Calibri"/>
                <w:sz w:val="22"/>
                <w:szCs w:val="22"/>
              </w:rPr>
              <w:t>6.2%</w:t>
            </w:r>
          </w:p>
        </w:tc>
        <w:tc>
          <w:tcPr>
            <w:tcW w:w="1175" w:type="dxa"/>
            <w:shd w:val="clear" w:color="auto" w:fill="auto"/>
            <w:noWrap/>
            <w:vAlign w:val="bottom"/>
            <w:hideMark/>
          </w:tcPr>
          <w:p w:rsidR="00A47AEC" w:rsidRPr="00A47AEC" w:rsidRDefault="002E29C1" w:rsidP="00A47AEC">
            <w:pPr>
              <w:spacing w:after="0"/>
              <w:jc w:val="right"/>
              <w:rPr>
                <w:rFonts w:ascii="Calibri" w:hAnsi="Calibri"/>
                <w:sz w:val="22"/>
                <w:szCs w:val="22"/>
              </w:rPr>
            </w:pPr>
            <w:r w:rsidRPr="00A47AEC">
              <w:rPr>
                <w:rFonts w:ascii="Calibri" w:hAnsi="Calibri"/>
                <w:sz w:val="22"/>
                <w:szCs w:val="22"/>
              </w:rPr>
              <w:t>100.0%</w:t>
            </w:r>
          </w:p>
        </w:tc>
      </w:tr>
      <w:tr w:rsidR="00040D04" w:rsidTr="00A47AEC">
        <w:trPr>
          <w:trHeight w:val="202"/>
        </w:trPr>
        <w:tc>
          <w:tcPr>
            <w:tcW w:w="2026" w:type="dxa"/>
            <w:shd w:val="clear" w:color="auto" w:fill="auto"/>
            <w:noWrap/>
            <w:vAlign w:val="bottom"/>
            <w:hideMark/>
          </w:tcPr>
          <w:p w:rsidR="00CE3F4F" w:rsidRPr="00A47AEC" w:rsidRDefault="002E29C1" w:rsidP="00CE3F4F">
            <w:pPr>
              <w:autoSpaceDE/>
              <w:autoSpaceDN/>
              <w:adjustRightInd/>
              <w:spacing w:after="0"/>
              <w:jc w:val="left"/>
              <w:rPr>
                <w:rFonts w:ascii="Calibri" w:eastAsia="Times New Roman" w:hAnsi="Calibri" w:cs="Times New Roman"/>
                <w:sz w:val="22"/>
                <w:szCs w:val="22"/>
                <w:lang w:eastAsia="en-GB"/>
              </w:rPr>
            </w:pPr>
            <w:r w:rsidRPr="00A47AEC">
              <w:rPr>
                <w:rFonts w:ascii="Calibri" w:eastAsia="Times New Roman" w:hAnsi="Calibri" w:cs="Times New Roman"/>
                <w:sz w:val="22"/>
                <w:szCs w:val="22"/>
                <w:lang w:eastAsia="en-GB"/>
              </w:rPr>
              <w:t>Comparator group</w:t>
            </w:r>
          </w:p>
        </w:tc>
        <w:tc>
          <w:tcPr>
            <w:tcW w:w="1167" w:type="dxa"/>
            <w:shd w:val="clear" w:color="auto" w:fill="auto"/>
            <w:noWrap/>
            <w:vAlign w:val="bottom"/>
          </w:tcPr>
          <w:p w:rsidR="00CE3F4F" w:rsidRDefault="002E29C1" w:rsidP="00CE3F4F">
            <w:pPr>
              <w:autoSpaceDE/>
              <w:autoSpaceDN/>
              <w:adjustRightInd/>
              <w:spacing w:after="0"/>
              <w:jc w:val="right"/>
              <w:rPr>
                <w:rFonts w:ascii="Calibri" w:eastAsia="Times New Roman" w:hAnsi="Calibri" w:cs="Times New Roman"/>
                <w:sz w:val="22"/>
                <w:szCs w:val="22"/>
                <w:lang w:eastAsia="en-GB"/>
              </w:rPr>
            </w:pPr>
            <w:r>
              <w:rPr>
                <w:rFonts w:ascii="Calibri" w:hAnsi="Calibri"/>
                <w:sz w:val="22"/>
                <w:szCs w:val="22"/>
              </w:rPr>
              <w:t>60.6%</w:t>
            </w:r>
          </w:p>
        </w:tc>
        <w:tc>
          <w:tcPr>
            <w:tcW w:w="1817" w:type="dxa"/>
            <w:shd w:val="clear" w:color="auto" w:fill="auto"/>
            <w:noWrap/>
            <w:vAlign w:val="bottom"/>
          </w:tcPr>
          <w:p w:rsidR="00CE3F4F" w:rsidRDefault="002E29C1" w:rsidP="00CE3F4F">
            <w:pPr>
              <w:spacing w:after="0"/>
              <w:jc w:val="right"/>
              <w:rPr>
                <w:rFonts w:ascii="Calibri" w:hAnsi="Calibri"/>
                <w:sz w:val="22"/>
                <w:szCs w:val="22"/>
              </w:rPr>
            </w:pPr>
            <w:r>
              <w:rPr>
                <w:rFonts w:ascii="Calibri" w:hAnsi="Calibri"/>
                <w:sz w:val="22"/>
                <w:szCs w:val="22"/>
              </w:rPr>
              <w:t>32.3%</w:t>
            </w:r>
          </w:p>
        </w:tc>
        <w:tc>
          <w:tcPr>
            <w:tcW w:w="2829" w:type="dxa"/>
            <w:shd w:val="clear" w:color="auto" w:fill="auto"/>
            <w:noWrap/>
            <w:vAlign w:val="bottom"/>
          </w:tcPr>
          <w:p w:rsidR="00CE3F4F" w:rsidRDefault="002E29C1" w:rsidP="00CE3F4F">
            <w:pPr>
              <w:spacing w:after="0"/>
              <w:jc w:val="right"/>
              <w:rPr>
                <w:rFonts w:ascii="Calibri" w:hAnsi="Calibri"/>
                <w:sz w:val="22"/>
                <w:szCs w:val="22"/>
              </w:rPr>
            </w:pPr>
            <w:r>
              <w:rPr>
                <w:rFonts w:ascii="Calibri" w:hAnsi="Calibri"/>
                <w:sz w:val="22"/>
                <w:szCs w:val="22"/>
              </w:rPr>
              <w:t>7.1%</w:t>
            </w:r>
          </w:p>
        </w:tc>
        <w:tc>
          <w:tcPr>
            <w:tcW w:w="1175" w:type="dxa"/>
            <w:shd w:val="clear" w:color="auto" w:fill="auto"/>
            <w:noWrap/>
            <w:vAlign w:val="bottom"/>
            <w:hideMark/>
          </w:tcPr>
          <w:p w:rsidR="00CE3F4F" w:rsidRDefault="002E29C1" w:rsidP="00CE3F4F">
            <w:pPr>
              <w:spacing w:after="0"/>
              <w:jc w:val="right"/>
              <w:rPr>
                <w:rFonts w:ascii="Calibri" w:hAnsi="Calibri"/>
                <w:sz w:val="22"/>
                <w:szCs w:val="22"/>
              </w:rPr>
            </w:pPr>
            <w:r>
              <w:rPr>
                <w:rFonts w:ascii="Calibri" w:hAnsi="Calibri"/>
                <w:sz w:val="22"/>
                <w:szCs w:val="22"/>
              </w:rPr>
              <w:t>100.0%</w:t>
            </w:r>
          </w:p>
        </w:tc>
      </w:tr>
      <w:tr w:rsidR="00040D04" w:rsidTr="00A47AEC">
        <w:trPr>
          <w:trHeight w:val="202"/>
        </w:trPr>
        <w:tc>
          <w:tcPr>
            <w:tcW w:w="2026" w:type="dxa"/>
            <w:shd w:val="clear" w:color="auto" w:fill="auto"/>
            <w:noWrap/>
            <w:vAlign w:val="bottom"/>
            <w:hideMark/>
          </w:tcPr>
          <w:p w:rsidR="00CE3F4F" w:rsidRPr="00A47AEC" w:rsidRDefault="002E29C1" w:rsidP="00CE3F4F">
            <w:pPr>
              <w:autoSpaceDE/>
              <w:autoSpaceDN/>
              <w:adjustRightInd/>
              <w:spacing w:after="0"/>
              <w:jc w:val="left"/>
              <w:rPr>
                <w:rFonts w:ascii="Calibri" w:eastAsia="Times New Roman" w:hAnsi="Calibri" w:cs="Times New Roman"/>
                <w:sz w:val="22"/>
                <w:szCs w:val="22"/>
                <w:lang w:eastAsia="en-GB"/>
              </w:rPr>
            </w:pPr>
            <w:r w:rsidRPr="00A47AEC">
              <w:rPr>
                <w:rFonts w:ascii="Calibri" w:eastAsia="Times New Roman" w:hAnsi="Calibri" w:cs="Times New Roman"/>
                <w:sz w:val="22"/>
                <w:szCs w:val="22"/>
                <w:lang w:eastAsia="en-GB"/>
              </w:rPr>
              <w:t>All authorities</w:t>
            </w:r>
          </w:p>
        </w:tc>
        <w:tc>
          <w:tcPr>
            <w:tcW w:w="1167" w:type="dxa"/>
            <w:shd w:val="clear" w:color="auto" w:fill="auto"/>
            <w:noWrap/>
            <w:vAlign w:val="bottom"/>
          </w:tcPr>
          <w:p w:rsidR="00CE3F4F" w:rsidRDefault="002E29C1" w:rsidP="00CE3F4F">
            <w:pPr>
              <w:spacing w:after="0"/>
              <w:jc w:val="right"/>
              <w:rPr>
                <w:rFonts w:ascii="Calibri" w:hAnsi="Calibri"/>
                <w:sz w:val="22"/>
                <w:szCs w:val="22"/>
              </w:rPr>
            </w:pPr>
            <w:r>
              <w:rPr>
                <w:rFonts w:ascii="Calibri" w:hAnsi="Calibri"/>
                <w:sz w:val="22"/>
                <w:szCs w:val="22"/>
              </w:rPr>
              <w:t>61.3%</w:t>
            </w:r>
          </w:p>
        </w:tc>
        <w:tc>
          <w:tcPr>
            <w:tcW w:w="1817" w:type="dxa"/>
            <w:shd w:val="clear" w:color="auto" w:fill="auto"/>
            <w:noWrap/>
            <w:vAlign w:val="bottom"/>
          </w:tcPr>
          <w:p w:rsidR="00CE3F4F" w:rsidRDefault="002E29C1" w:rsidP="00CE3F4F">
            <w:pPr>
              <w:spacing w:after="0"/>
              <w:jc w:val="right"/>
              <w:rPr>
                <w:rFonts w:ascii="Calibri" w:hAnsi="Calibri"/>
                <w:sz w:val="22"/>
                <w:szCs w:val="22"/>
              </w:rPr>
            </w:pPr>
            <w:r>
              <w:rPr>
                <w:rFonts w:ascii="Calibri" w:hAnsi="Calibri"/>
                <w:sz w:val="22"/>
                <w:szCs w:val="22"/>
              </w:rPr>
              <w:t>31.3%</w:t>
            </w:r>
          </w:p>
        </w:tc>
        <w:tc>
          <w:tcPr>
            <w:tcW w:w="2829" w:type="dxa"/>
            <w:shd w:val="clear" w:color="auto" w:fill="auto"/>
            <w:noWrap/>
            <w:vAlign w:val="bottom"/>
          </w:tcPr>
          <w:p w:rsidR="00CE3F4F" w:rsidRDefault="002E29C1" w:rsidP="00CE3F4F">
            <w:pPr>
              <w:spacing w:after="0"/>
              <w:jc w:val="right"/>
              <w:rPr>
                <w:rFonts w:ascii="Calibri" w:hAnsi="Calibri"/>
                <w:sz w:val="22"/>
                <w:szCs w:val="22"/>
              </w:rPr>
            </w:pPr>
            <w:r>
              <w:rPr>
                <w:rFonts w:ascii="Calibri" w:hAnsi="Calibri"/>
                <w:sz w:val="22"/>
                <w:szCs w:val="22"/>
              </w:rPr>
              <w:t>7.4%</w:t>
            </w:r>
          </w:p>
        </w:tc>
        <w:tc>
          <w:tcPr>
            <w:tcW w:w="1175" w:type="dxa"/>
            <w:shd w:val="clear" w:color="auto" w:fill="auto"/>
            <w:noWrap/>
            <w:vAlign w:val="bottom"/>
            <w:hideMark/>
          </w:tcPr>
          <w:p w:rsidR="00CE3F4F" w:rsidRDefault="002E29C1" w:rsidP="00CE3F4F">
            <w:pPr>
              <w:spacing w:after="0"/>
              <w:jc w:val="right"/>
              <w:rPr>
                <w:rFonts w:ascii="Calibri" w:hAnsi="Calibri"/>
                <w:sz w:val="22"/>
                <w:szCs w:val="22"/>
              </w:rPr>
            </w:pPr>
            <w:r>
              <w:rPr>
                <w:rFonts w:ascii="Calibri" w:hAnsi="Calibri"/>
                <w:sz w:val="22"/>
                <w:szCs w:val="22"/>
              </w:rPr>
              <w:t>100.0%</w:t>
            </w:r>
          </w:p>
        </w:tc>
      </w:tr>
    </w:tbl>
    <w:p w:rsidR="00D17A5F" w:rsidRPr="00A47AEC" w:rsidRDefault="002E29C1" w:rsidP="00D17A5F">
      <w:pPr>
        <w:spacing w:before="120"/>
        <w:rPr>
          <w:rFonts w:cs="Arial"/>
        </w:rPr>
      </w:pPr>
      <w:r>
        <w:rPr>
          <w:rFonts w:cs="Arial"/>
        </w:rPr>
        <w:t>Aug</w:t>
      </w:r>
      <w:r w:rsidRPr="00A47AEC">
        <w:rPr>
          <w:rFonts w:cs="Arial"/>
        </w:rPr>
        <w:t>-18 shows a slight increase in delayed days attributable to social care and a slight decrease in days attributable to NHS, with little change to the numbers attributable to both.</w:t>
      </w:r>
      <w:r w:rsidRPr="008808AC">
        <w:rPr>
          <w:rFonts w:cs="Arial"/>
        </w:rPr>
        <w:t xml:space="preserve"> </w:t>
      </w:r>
      <w:r w:rsidRPr="00DA694A">
        <w:rPr>
          <w:rFonts w:cs="Arial"/>
        </w:rPr>
        <w:t>Despite th</w:t>
      </w:r>
      <w:r>
        <w:rPr>
          <w:rFonts w:cs="Arial"/>
        </w:rPr>
        <w:t>e overall slight increase in Aug</w:t>
      </w:r>
      <w:r w:rsidRPr="00DA694A">
        <w:rPr>
          <w:rFonts w:cs="Arial"/>
        </w:rPr>
        <w:t>-18, the overall trend is still of steady improvement.</w:t>
      </w:r>
    </w:p>
    <w:p w:rsidR="00A47AEC" w:rsidRPr="00A47AEC" w:rsidRDefault="002E29C1" w:rsidP="00D17A5F">
      <w:pPr>
        <w:spacing w:before="120"/>
        <w:rPr>
          <w:rFonts w:cs="Arial"/>
        </w:rPr>
      </w:pPr>
      <w:r w:rsidRPr="00A47AEC">
        <w:rPr>
          <w:noProof/>
          <w:lang w:eastAsia="en-GB"/>
        </w:rPr>
        <w:drawing>
          <wp:inline distT="0" distB="0" distL="0" distR="0">
            <wp:extent cx="5727700" cy="3467595"/>
            <wp:effectExtent l="0" t="0" r="635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9281C" w:rsidRPr="00A47AEC" w:rsidRDefault="002E29C1" w:rsidP="00281495">
      <w:pPr>
        <w:pStyle w:val="Heading1"/>
        <w:spacing w:before="0" w:after="0"/>
        <w:ind w:left="431" w:hanging="431"/>
        <w:jc w:val="left"/>
      </w:pPr>
      <w:bookmarkStart w:id="9" w:name="_Toc520456202"/>
      <w:r w:rsidRPr="00A47AEC">
        <w:lastRenderedPageBreak/>
        <w:t>DToC Targets</w:t>
      </w:r>
      <w:bookmarkEnd w:id="9"/>
    </w:p>
    <w:p w:rsidR="0079281C" w:rsidRPr="00A47AEC" w:rsidRDefault="00AC7EBD" w:rsidP="00281495">
      <w:pPr>
        <w:spacing w:after="0"/>
        <w:jc w:val="left"/>
        <w:rPr>
          <w:lang w:eastAsia="en-GB"/>
        </w:rPr>
      </w:pPr>
    </w:p>
    <w:p w:rsidR="00EF7837" w:rsidRPr="00A47AEC" w:rsidRDefault="002E29C1" w:rsidP="00EF7837">
      <w:pPr>
        <w:pStyle w:val="Heading2"/>
      </w:pPr>
      <w:bookmarkStart w:id="10" w:name="_Toc520456203"/>
      <w:r w:rsidRPr="00A47AEC">
        <w:t>Better Care Fund</w:t>
      </w:r>
      <w:bookmarkEnd w:id="10"/>
    </w:p>
    <w:p w:rsidR="00466AF7" w:rsidRPr="00A27CF3" w:rsidRDefault="002E29C1" w:rsidP="00EF7837">
      <w:pPr>
        <w:spacing w:after="160" w:line="259" w:lineRule="auto"/>
      </w:pPr>
      <w:r w:rsidRPr="00A47AEC">
        <w:rPr>
          <w:rFonts w:cs="Arial"/>
        </w:rPr>
        <w:t xml:space="preserve">In July 2018 provisional revised expectations for reducing DToC were published for all </w:t>
      </w:r>
      <w:r w:rsidRPr="00A27CF3">
        <w:rPr>
          <w:rFonts w:cs="Arial"/>
        </w:rPr>
        <w:t xml:space="preserve">authorities as part of the Better Care Fund 2018/19 Operational Guidance. </w:t>
      </w:r>
      <w:r w:rsidRPr="00A27CF3">
        <w:t xml:space="preserve">The Guidance sets out the requirements, agreed with the Department of Health and Social Care and Ministry of Housing, Communities and Local Government in consultation with Local Government, to be adopted as metrics in each local BCF plan. Authorities are expected to achieve these revised targets by September 2018 and maintain that standard thereafter. </w:t>
      </w:r>
    </w:p>
    <w:p w:rsidR="00AA4F94" w:rsidRPr="00A27CF3" w:rsidRDefault="002E29C1" w:rsidP="00EF7837">
      <w:pPr>
        <w:spacing w:after="160" w:line="259" w:lineRule="auto"/>
      </w:pPr>
      <w:r w:rsidRPr="00A27CF3">
        <w:t xml:space="preserve">Targets were expressed as </w:t>
      </w:r>
      <w:r w:rsidRPr="00A27CF3">
        <w:rPr>
          <w:rFonts w:cs="Arial"/>
        </w:rPr>
        <w:t>DToC Bed Days, which is calculated by dividing the expected number of delayed days during the month by the number of calendar days in the month. Rates per 100,000 population have been calculated using the mid-2017 population estimates for the 18+ age group within each authority.</w:t>
      </w:r>
    </w:p>
    <w:p w:rsidR="00724B30" w:rsidRPr="00A27CF3" w:rsidRDefault="002E29C1" w:rsidP="00EF7837">
      <w:pPr>
        <w:spacing w:after="160" w:line="259" w:lineRule="auto"/>
      </w:pPr>
      <w:r w:rsidRPr="00A27CF3">
        <w:t>The target set for Lancashire was 36.6 DToC bed days for social care and 101.8 DToC bed days in total. The Aug-18 figures show that Lancashire has once again achieved the total target already with 96.3 DToC bed days in total, though we are slightly outside the social care target with 39.7 DToC bed days.</w:t>
      </w: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997"/>
        <w:gridCol w:w="1134"/>
        <w:gridCol w:w="992"/>
        <w:gridCol w:w="1418"/>
      </w:tblGrid>
      <w:tr w:rsidR="00040D04" w:rsidTr="00985308">
        <w:trPr>
          <w:trHeight w:val="300"/>
        </w:trPr>
        <w:tc>
          <w:tcPr>
            <w:tcW w:w="4390" w:type="dxa"/>
            <w:shd w:val="clear" w:color="auto" w:fill="D9D9D9" w:themeFill="background1" w:themeFillShade="D9"/>
            <w:noWrap/>
            <w:vAlign w:val="center"/>
            <w:hideMark/>
          </w:tcPr>
          <w:p w:rsidR="00AC6440" w:rsidRPr="00A27CF3" w:rsidRDefault="002E29C1" w:rsidP="00985308">
            <w:pPr>
              <w:autoSpaceDE/>
              <w:autoSpaceDN/>
              <w:adjustRightInd/>
              <w:spacing w:after="0"/>
              <w:jc w:val="center"/>
              <w:rPr>
                <w:rFonts w:eastAsia="Times New Roman" w:cs="Arial"/>
                <w:color w:val="auto"/>
                <w:sz w:val="20"/>
                <w:szCs w:val="20"/>
                <w:lang w:eastAsia="en-GB"/>
              </w:rPr>
            </w:pPr>
            <w:r w:rsidRPr="00A27CF3">
              <w:rPr>
                <w:rFonts w:eastAsia="Times New Roman" w:cs="Arial"/>
                <w:b/>
                <w:bCs/>
                <w:sz w:val="22"/>
                <w:szCs w:val="22"/>
                <w:lang w:eastAsia="en-GB"/>
              </w:rPr>
              <w:t>Measure</w:t>
            </w:r>
          </w:p>
        </w:tc>
        <w:tc>
          <w:tcPr>
            <w:tcW w:w="997" w:type="dxa"/>
            <w:shd w:val="clear" w:color="auto" w:fill="D9D9D9" w:themeFill="background1" w:themeFillShade="D9"/>
            <w:vAlign w:val="center"/>
            <w:hideMark/>
          </w:tcPr>
          <w:p w:rsidR="00AC6440" w:rsidRPr="00A27CF3" w:rsidRDefault="002E29C1" w:rsidP="00AC6440">
            <w:pPr>
              <w:autoSpaceDE/>
              <w:autoSpaceDN/>
              <w:adjustRightInd/>
              <w:spacing w:after="0"/>
              <w:jc w:val="center"/>
              <w:rPr>
                <w:rFonts w:eastAsia="Times New Roman" w:cs="Arial"/>
                <w:b/>
                <w:bCs/>
                <w:sz w:val="22"/>
                <w:szCs w:val="22"/>
                <w:lang w:eastAsia="en-GB"/>
              </w:rPr>
            </w:pPr>
            <w:r w:rsidRPr="00A27CF3">
              <w:rPr>
                <w:rFonts w:eastAsia="Times New Roman" w:cs="Arial"/>
                <w:b/>
                <w:bCs/>
                <w:sz w:val="22"/>
                <w:szCs w:val="22"/>
                <w:lang w:eastAsia="en-GB"/>
              </w:rPr>
              <w:t>NHS</w:t>
            </w:r>
          </w:p>
        </w:tc>
        <w:tc>
          <w:tcPr>
            <w:tcW w:w="1134" w:type="dxa"/>
            <w:shd w:val="clear" w:color="auto" w:fill="D9D9D9" w:themeFill="background1" w:themeFillShade="D9"/>
            <w:vAlign w:val="center"/>
            <w:hideMark/>
          </w:tcPr>
          <w:p w:rsidR="00AC6440" w:rsidRPr="00A27CF3" w:rsidRDefault="002E29C1" w:rsidP="00AC6440">
            <w:pPr>
              <w:autoSpaceDE/>
              <w:autoSpaceDN/>
              <w:adjustRightInd/>
              <w:spacing w:after="0"/>
              <w:jc w:val="center"/>
              <w:rPr>
                <w:rFonts w:eastAsia="Times New Roman" w:cs="Arial"/>
                <w:b/>
                <w:bCs/>
                <w:sz w:val="22"/>
                <w:szCs w:val="22"/>
                <w:lang w:eastAsia="en-GB"/>
              </w:rPr>
            </w:pPr>
            <w:r w:rsidRPr="00A27CF3">
              <w:rPr>
                <w:rFonts w:eastAsia="Times New Roman" w:cs="Arial"/>
                <w:b/>
                <w:bCs/>
                <w:sz w:val="22"/>
                <w:szCs w:val="22"/>
                <w:lang w:eastAsia="en-GB"/>
              </w:rPr>
              <w:t>Social Care</w:t>
            </w:r>
          </w:p>
        </w:tc>
        <w:tc>
          <w:tcPr>
            <w:tcW w:w="992" w:type="dxa"/>
            <w:shd w:val="clear" w:color="auto" w:fill="D9D9D9" w:themeFill="background1" w:themeFillShade="D9"/>
            <w:vAlign w:val="center"/>
            <w:hideMark/>
          </w:tcPr>
          <w:p w:rsidR="00AC6440" w:rsidRPr="00A27CF3" w:rsidRDefault="002E29C1" w:rsidP="00AC6440">
            <w:pPr>
              <w:autoSpaceDE/>
              <w:autoSpaceDN/>
              <w:adjustRightInd/>
              <w:spacing w:after="0"/>
              <w:jc w:val="center"/>
              <w:rPr>
                <w:rFonts w:eastAsia="Times New Roman" w:cs="Arial"/>
                <w:b/>
                <w:bCs/>
                <w:sz w:val="22"/>
                <w:szCs w:val="22"/>
                <w:lang w:eastAsia="en-GB"/>
              </w:rPr>
            </w:pPr>
            <w:r w:rsidRPr="00A27CF3">
              <w:rPr>
                <w:rFonts w:eastAsia="Times New Roman" w:cs="Arial"/>
                <w:b/>
                <w:bCs/>
                <w:sz w:val="22"/>
                <w:szCs w:val="22"/>
                <w:lang w:eastAsia="en-GB"/>
              </w:rPr>
              <w:t>Joint</w:t>
            </w:r>
          </w:p>
        </w:tc>
        <w:tc>
          <w:tcPr>
            <w:tcW w:w="1418" w:type="dxa"/>
            <w:shd w:val="clear" w:color="auto" w:fill="D9D9D9" w:themeFill="background1" w:themeFillShade="D9"/>
            <w:vAlign w:val="center"/>
            <w:hideMark/>
          </w:tcPr>
          <w:p w:rsidR="00AC6440" w:rsidRPr="00A27CF3" w:rsidRDefault="002E29C1" w:rsidP="00AC6440">
            <w:pPr>
              <w:autoSpaceDE/>
              <w:autoSpaceDN/>
              <w:adjustRightInd/>
              <w:spacing w:after="0"/>
              <w:jc w:val="center"/>
              <w:rPr>
                <w:rFonts w:eastAsia="Times New Roman" w:cs="Arial"/>
                <w:b/>
                <w:bCs/>
                <w:sz w:val="22"/>
                <w:szCs w:val="22"/>
                <w:lang w:eastAsia="en-GB"/>
              </w:rPr>
            </w:pPr>
            <w:r w:rsidRPr="00A27CF3">
              <w:rPr>
                <w:rFonts w:eastAsia="Times New Roman" w:cs="Arial"/>
                <w:b/>
                <w:bCs/>
                <w:sz w:val="22"/>
                <w:szCs w:val="22"/>
                <w:lang w:eastAsia="en-GB"/>
              </w:rPr>
              <w:t>Total</w:t>
            </w:r>
          </w:p>
        </w:tc>
      </w:tr>
      <w:tr w:rsidR="00040D04" w:rsidTr="00BE3267">
        <w:trPr>
          <w:trHeight w:val="300"/>
        </w:trPr>
        <w:tc>
          <w:tcPr>
            <w:tcW w:w="4390" w:type="dxa"/>
            <w:shd w:val="clear" w:color="auto" w:fill="auto"/>
            <w:noWrap/>
            <w:vAlign w:val="bottom"/>
            <w:hideMark/>
          </w:tcPr>
          <w:p w:rsidR="00AC6440" w:rsidRPr="00A27CF3" w:rsidRDefault="002E29C1" w:rsidP="00466AF7">
            <w:pPr>
              <w:autoSpaceDE/>
              <w:autoSpaceDN/>
              <w:adjustRightInd/>
              <w:spacing w:after="0"/>
              <w:jc w:val="left"/>
              <w:rPr>
                <w:rFonts w:eastAsia="Times New Roman" w:cs="Arial"/>
                <w:sz w:val="22"/>
                <w:szCs w:val="22"/>
                <w:lang w:eastAsia="en-GB"/>
              </w:rPr>
            </w:pPr>
            <w:r w:rsidRPr="00A27CF3">
              <w:rPr>
                <w:rFonts w:eastAsia="Times New Roman" w:cs="Arial"/>
                <w:sz w:val="22"/>
                <w:szCs w:val="22"/>
                <w:lang w:eastAsia="en-GB"/>
              </w:rPr>
              <w:t>Revised 2018/19 expectations DToC bed days</w:t>
            </w:r>
          </w:p>
        </w:tc>
        <w:tc>
          <w:tcPr>
            <w:tcW w:w="997" w:type="dxa"/>
            <w:shd w:val="clear" w:color="auto" w:fill="auto"/>
            <w:noWrap/>
            <w:vAlign w:val="center"/>
            <w:hideMark/>
          </w:tcPr>
          <w:p w:rsidR="00AC6440" w:rsidRPr="00A27CF3" w:rsidRDefault="002E29C1" w:rsidP="00BE3267">
            <w:pPr>
              <w:autoSpaceDE/>
              <w:autoSpaceDN/>
              <w:adjustRightInd/>
              <w:spacing w:after="0"/>
              <w:jc w:val="center"/>
              <w:rPr>
                <w:rFonts w:eastAsia="Times New Roman" w:cs="Arial"/>
                <w:b/>
                <w:bCs/>
                <w:color w:val="auto"/>
                <w:sz w:val="22"/>
                <w:szCs w:val="22"/>
                <w:lang w:eastAsia="en-GB"/>
              </w:rPr>
            </w:pPr>
            <w:r w:rsidRPr="00A27CF3">
              <w:rPr>
                <w:rFonts w:eastAsia="Times New Roman" w:cs="Arial"/>
                <w:b/>
                <w:bCs/>
                <w:color w:val="auto"/>
                <w:sz w:val="22"/>
                <w:szCs w:val="22"/>
                <w:lang w:eastAsia="en-GB"/>
              </w:rPr>
              <w:t>52.2</w:t>
            </w:r>
          </w:p>
        </w:tc>
        <w:tc>
          <w:tcPr>
            <w:tcW w:w="1134" w:type="dxa"/>
            <w:shd w:val="clear" w:color="auto" w:fill="auto"/>
            <w:noWrap/>
            <w:vAlign w:val="center"/>
            <w:hideMark/>
          </w:tcPr>
          <w:p w:rsidR="00AC6440" w:rsidRPr="00A27CF3" w:rsidRDefault="002E29C1" w:rsidP="00BE3267">
            <w:pPr>
              <w:autoSpaceDE/>
              <w:autoSpaceDN/>
              <w:adjustRightInd/>
              <w:spacing w:after="0"/>
              <w:jc w:val="center"/>
              <w:rPr>
                <w:rFonts w:eastAsia="Times New Roman" w:cs="Arial"/>
                <w:b/>
                <w:bCs/>
                <w:color w:val="auto"/>
                <w:sz w:val="22"/>
                <w:szCs w:val="22"/>
                <w:lang w:eastAsia="en-GB"/>
              </w:rPr>
            </w:pPr>
            <w:r w:rsidRPr="00A27CF3">
              <w:rPr>
                <w:rFonts w:eastAsia="Times New Roman" w:cs="Arial"/>
                <w:b/>
                <w:bCs/>
                <w:color w:val="auto"/>
                <w:sz w:val="22"/>
                <w:szCs w:val="22"/>
                <w:lang w:eastAsia="en-GB"/>
              </w:rPr>
              <w:t>36.6</w:t>
            </w:r>
          </w:p>
        </w:tc>
        <w:tc>
          <w:tcPr>
            <w:tcW w:w="992" w:type="dxa"/>
            <w:shd w:val="clear" w:color="auto" w:fill="auto"/>
            <w:noWrap/>
            <w:vAlign w:val="center"/>
            <w:hideMark/>
          </w:tcPr>
          <w:p w:rsidR="00AC6440" w:rsidRPr="00A27CF3" w:rsidRDefault="002E29C1" w:rsidP="00BE3267">
            <w:pPr>
              <w:autoSpaceDE/>
              <w:autoSpaceDN/>
              <w:adjustRightInd/>
              <w:spacing w:after="0"/>
              <w:jc w:val="center"/>
              <w:rPr>
                <w:rFonts w:eastAsia="Times New Roman" w:cs="Arial"/>
                <w:b/>
                <w:bCs/>
                <w:color w:val="auto"/>
                <w:sz w:val="22"/>
                <w:szCs w:val="22"/>
                <w:lang w:eastAsia="en-GB"/>
              </w:rPr>
            </w:pPr>
            <w:r w:rsidRPr="00A27CF3">
              <w:rPr>
                <w:rFonts w:eastAsia="Times New Roman" w:cs="Arial"/>
                <w:b/>
                <w:bCs/>
                <w:color w:val="auto"/>
                <w:sz w:val="22"/>
                <w:szCs w:val="22"/>
                <w:lang w:eastAsia="en-GB"/>
              </w:rPr>
              <w:t>12.9</w:t>
            </w:r>
          </w:p>
        </w:tc>
        <w:tc>
          <w:tcPr>
            <w:tcW w:w="1418" w:type="dxa"/>
            <w:shd w:val="clear" w:color="auto" w:fill="auto"/>
            <w:noWrap/>
            <w:vAlign w:val="center"/>
            <w:hideMark/>
          </w:tcPr>
          <w:p w:rsidR="00AC6440" w:rsidRPr="00A27CF3" w:rsidRDefault="002E29C1" w:rsidP="00BE3267">
            <w:pPr>
              <w:autoSpaceDE/>
              <w:autoSpaceDN/>
              <w:adjustRightInd/>
              <w:spacing w:after="0"/>
              <w:jc w:val="center"/>
              <w:rPr>
                <w:rFonts w:eastAsia="Times New Roman" w:cs="Arial"/>
                <w:b/>
                <w:bCs/>
                <w:color w:val="auto"/>
                <w:sz w:val="22"/>
                <w:szCs w:val="22"/>
                <w:lang w:eastAsia="en-GB"/>
              </w:rPr>
            </w:pPr>
            <w:r w:rsidRPr="00A27CF3">
              <w:rPr>
                <w:rFonts w:eastAsia="Times New Roman" w:cs="Arial"/>
                <w:b/>
                <w:bCs/>
                <w:color w:val="auto"/>
                <w:sz w:val="22"/>
                <w:szCs w:val="22"/>
                <w:lang w:eastAsia="en-GB"/>
              </w:rPr>
              <w:t>101.8</w:t>
            </w:r>
          </w:p>
        </w:tc>
      </w:tr>
      <w:tr w:rsidR="00040D04" w:rsidTr="00BE3267">
        <w:trPr>
          <w:trHeight w:val="300"/>
        </w:trPr>
        <w:tc>
          <w:tcPr>
            <w:tcW w:w="4390" w:type="dxa"/>
            <w:shd w:val="clear" w:color="auto" w:fill="auto"/>
            <w:noWrap/>
            <w:vAlign w:val="bottom"/>
            <w:hideMark/>
          </w:tcPr>
          <w:p w:rsidR="00AC6440" w:rsidRPr="00A27CF3" w:rsidRDefault="002E29C1" w:rsidP="00466AF7">
            <w:pPr>
              <w:autoSpaceDE/>
              <w:autoSpaceDN/>
              <w:adjustRightInd/>
              <w:spacing w:after="0"/>
              <w:jc w:val="left"/>
              <w:rPr>
                <w:rFonts w:eastAsia="Times New Roman" w:cs="Arial"/>
                <w:sz w:val="22"/>
                <w:szCs w:val="22"/>
                <w:lang w:eastAsia="en-GB"/>
              </w:rPr>
            </w:pPr>
            <w:r w:rsidRPr="00A27CF3">
              <w:rPr>
                <w:rFonts w:eastAsia="Times New Roman" w:cs="Arial"/>
                <w:sz w:val="22"/>
                <w:szCs w:val="22"/>
                <w:lang w:eastAsia="en-GB"/>
              </w:rPr>
              <w:t>Revised 2018/19 expectations DToC bed days per 100,000 pop</w:t>
            </w:r>
          </w:p>
        </w:tc>
        <w:tc>
          <w:tcPr>
            <w:tcW w:w="997" w:type="dxa"/>
            <w:shd w:val="clear" w:color="auto" w:fill="auto"/>
            <w:noWrap/>
            <w:vAlign w:val="center"/>
            <w:hideMark/>
          </w:tcPr>
          <w:p w:rsidR="00AC6440" w:rsidRPr="00A27CF3" w:rsidRDefault="002E29C1" w:rsidP="00BE3267">
            <w:pPr>
              <w:autoSpaceDE/>
              <w:autoSpaceDN/>
              <w:adjustRightInd/>
              <w:spacing w:after="0"/>
              <w:jc w:val="center"/>
              <w:rPr>
                <w:rFonts w:eastAsia="Times New Roman" w:cs="Arial"/>
                <w:color w:val="auto"/>
                <w:sz w:val="22"/>
                <w:szCs w:val="22"/>
                <w:lang w:eastAsia="en-GB"/>
              </w:rPr>
            </w:pPr>
            <w:r w:rsidRPr="00A27CF3">
              <w:rPr>
                <w:rFonts w:eastAsia="Times New Roman" w:cs="Arial"/>
                <w:color w:val="auto"/>
                <w:sz w:val="22"/>
                <w:szCs w:val="22"/>
                <w:lang w:eastAsia="en-GB"/>
              </w:rPr>
              <w:t>5.5</w:t>
            </w:r>
          </w:p>
        </w:tc>
        <w:tc>
          <w:tcPr>
            <w:tcW w:w="1134" w:type="dxa"/>
            <w:shd w:val="clear" w:color="auto" w:fill="auto"/>
            <w:noWrap/>
            <w:vAlign w:val="center"/>
            <w:hideMark/>
          </w:tcPr>
          <w:p w:rsidR="00AC6440" w:rsidRPr="00A27CF3" w:rsidRDefault="002E29C1" w:rsidP="00BE3267">
            <w:pPr>
              <w:autoSpaceDE/>
              <w:autoSpaceDN/>
              <w:adjustRightInd/>
              <w:spacing w:after="0"/>
              <w:jc w:val="center"/>
              <w:rPr>
                <w:rFonts w:eastAsia="Times New Roman" w:cs="Arial"/>
                <w:color w:val="auto"/>
                <w:sz w:val="22"/>
                <w:szCs w:val="22"/>
                <w:lang w:eastAsia="en-GB"/>
              </w:rPr>
            </w:pPr>
            <w:r w:rsidRPr="00A27CF3">
              <w:rPr>
                <w:rFonts w:eastAsia="Times New Roman" w:cs="Arial"/>
                <w:color w:val="auto"/>
                <w:sz w:val="22"/>
                <w:szCs w:val="22"/>
                <w:lang w:eastAsia="en-GB"/>
              </w:rPr>
              <w:t>3.8</w:t>
            </w:r>
          </w:p>
        </w:tc>
        <w:tc>
          <w:tcPr>
            <w:tcW w:w="992" w:type="dxa"/>
            <w:shd w:val="clear" w:color="auto" w:fill="auto"/>
            <w:noWrap/>
            <w:vAlign w:val="center"/>
            <w:hideMark/>
          </w:tcPr>
          <w:p w:rsidR="00AC6440" w:rsidRPr="00A27CF3" w:rsidRDefault="002E29C1" w:rsidP="00BE3267">
            <w:pPr>
              <w:autoSpaceDE/>
              <w:autoSpaceDN/>
              <w:adjustRightInd/>
              <w:spacing w:after="0"/>
              <w:jc w:val="center"/>
              <w:rPr>
                <w:rFonts w:eastAsia="Times New Roman" w:cs="Arial"/>
                <w:color w:val="auto"/>
                <w:sz w:val="22"/>
                <w:szCs w:val="22"/>
                <w:lang w:eastAsia="en-GB"/>
              </w:rPr>
            </w:pPr>
            <w:r w:rsidRPr="00A27CF3">
              <w:rPr>
                <w:rFonts w:eastAsia="Times New Roman" w:cs="Arial"/>
                <w:color w:val="auto"/>
                <w:sz w:val="22"/>
                <w:szCs w:val="22"/>
                <w:lang w:eastAsia="en-GB"/>
              </w:rPr>
              <w:t>1.4</w:t>
            </w:r>
          </w:p>
        </w:tc>
        <w:tc>
          <w:tcPr>
            <w:tcW w:w="1418" w:type="dxa"/>
            <w:shd w:val="clear" w:color="auto" w:fill="auto"/>
            <w:noWrap/>
            <w:vAlign w:val="center"/>
            <w:hideMark/>
          </w:tcPr>
          <w:p w:rsidR="00AC6440" w:rsidRPr="00A27CF3" w:rsidRDefault="002E29C1" w:rsidP="00BE3267">
            <w:pPr>
              <w:autoSpaceDE/>
              <w:autoSpaceDN/>
              <w:adjustRightInd/>
              <w:spacing w:after="0"/>
              <w:jc w:val="center"/>
              <w:rPr>
                <w:rFonts w:eastAsia="Times New Roman" w:cs="Arial"/>
                <w:color w:val="auto"/>
                <w:sz w:val="22"/>
                <w:szCs w:val="22"/>
                <w:lang w:eastAsia="en-GB"/>
              </w:rPr>
            </w:pPr>
            <w:r w:rsidRPr="00A27CF3">
              <w:rPr>
                <w:rFonts w:eastAsia="Times New Roman" w:cs="Arial"/>
                <w:color w:val="auto"/>
                <w:sz w:val="22"/>
                <w:szCs w:val="22"/>
                <w:lang w:eastAsia="en-GB"/>
              </w:rPr>
              <w:t>10.7</w:t>
            </w:r>
          </w:p>
        </w:tc>
      </w:tr>
      <w:tr w:rsidR="00040D04" w:rsidTr="00BE3267">
        <w:trPr>
          <w:trHeight w:val="300"/>
        </w:trPr>
        <w:tc>
          <w:tcPr>
            <w:tcW w:w="4390" w:type="dxa"/>
            <w:shd w:val="clear" w:color="auto" w:fill="auto"/>
            <w:noWrap/>
            <w:vAlign w:val="bottom"/>
            <w:hideMark/>
          </w:tcPr>
          <w:p w:rsidR="00AC6440" w:rsidRPr="00A27CF3" w:rsidRDefault="002E29C1" w:rsidP="00466AF7">
            <w:pPr>
              <w:autoSpaceDE/>
              <w:autoSpaceDN/>
              <w:adjustRightInd/>
              <w:spacing w:after="0"/>
              <w:jc w:val="left"/>
              <w:rPr>
                <w:rFonts w:eastAsia="Times New Roman" w:cs="Arial"/>
                <w:sz w:val="22"/>
                <w:szCs w:val="22"/>
                <w:lang w:eastAsia="en-GB"/>
              </w:rPr>
            </w:pPr>
            <w:r w:rsidRPr="00A27CF3">
              <w:rPr>
                <w:rFonts w:eastAsia="Times New Roman" w:cs="Arial"/>
                <w:sz w:val="22"/>
                <w:szCs w:val="22"/>
                <w:lang w:eastAsia="en-GB"/>
              </w:rPr>
              <w:t>Revised 2018/19 expectations total days per month (approx)</w:t>
            </w:r>
          </w:p>
        </w:tc>
        <w:tc>
          <w:tcPr>
            <w:tcW w:w="997" w:type="dxa"/>
            <w:shd w:val="clear" w:color="auto" w:fill="auto"/>
            <w:noWrap/>
            <w:vAlign w:val="center"/>
            <w:hideMark/>
          </w:tcPr>
          <w:p w:rsidR="00AC6440" w:rsidRPr="00A27CF3" w:rsidRDefault="002E29C1" w:rsidP="00BE3267">
            <w:pPr>
              <w:autoSpaceDE/>
              <w:autoSpaceDN/>
              <w:adjustRightInd/>
              <w:spacing w:after="0"/>
              <w:jc w:val="center"/>
              <w:rPr>
                <w:rFonts w:eastAsia="Times New Roman" w:cs="Arial"/>
                <w:sz w:val="22"/>
                <w:szCs w:val="22"/>
                <w:lang w:eastAsia="en-GB"/>
              </w:rPr>
            </w:pPr>
            <w:r w:rsidRPr="00A27CF3">
              <w:rPr>
                <w:rFonts w:eastAsia="Times New Roman" w:cs="Arial"/>
                <w:sz w:val="22"/>
                <w:szCs w:val="22"/>
                <w:lang w:eastAsia="en-GB"/>
              </w:rPr>
              <w:t>1566</w:t>
            </w:r>
          </w:p>
        </w:tc>
        <w:tc>
          <w:tcPr>
            <w:tcW w:w="1134" w:type="dxa"/>
            <w:shd w:val="clear" w:color="auto" w:fill="auto"/>
            <w:noWrap/>
            <w:vAlign w:val="center"/>
            <w:hideMark/>
          </w:tcPr>
          <w:p w:rsidR="00AC6440" w:rsidRPr="00A27CF3" w:rsidRDefault="002E29C1" w:rsidP="00BE3267">
            <w:pPr>
              <w:autoSpaceDE/>
              <w:autoSpaceDN/>
              <w:adjustRightInd/>
              <w:spacing w:after="0"/>
              <w:jc w:val="center"/>
              <w:rPr>
                <w:rFonts w:eastAsia="Times New Roman" w:cs="Arial"/>
                <w:sz w:val="22"/>
                <w:szCs w:val="22"/>
                <w:lang w:eastAsia="en-GB"/>
              </w:rPr>
            </w:pPr>
            <w:r w:rsidRPr="00A27CF3">
              <w:rPr>
                <w:rFonts w:eastAsia="Times New Roman" w:cs="Arial"/>
                <w:sz w:val="22"/>
                <w:szCs w:val="22"/>
                <w:lang w:eastAsia="en-GB"/>
              </w:rPr>
              <w:t>1099</w:t>
            </w:r>
          </w:p>
        </w:tc>
        <w:tc>
          <w:tcPr>
            <w:tcW w:w="992" w:type="dxa"/>
            <w:shd w:val="clear" w:color="auto" w:fill="auto"/>
            <w:noWrap/>
            <w:vAlign w:val="center"/>
            <w:hideMark/>
          </w:tcPr>
          <w:p w:rsidR="00AC6440" w:rsidRPr="00A27CF3" w:rsidRDefault="002E29C1" w:rsidP="00BE3267">
            <w:pPr>
              <w:autoSpaceDE/>
              <w:autoSpaceDN/>
              <w:adjustRightInd/>
              <w:spacing w:after="0"/>
              <w:jc w:val="center"/>
              <w:rPr>
                <w:rFonts w:eastAsia="Times New Roman" w:cs="Arial"/>
                <w:sz w:val="22"/>
                <w:szCs w:val="22"/>
                <w:lang w:eastAsia="en-GB"/>
              </w:rPr>
            </w:pPr>
            <w:r w:rsidRPr="00A27CF3">
              <w:rPr>
                <w:rFonts w:eastAsia="Times New Roman" w:cs="Arial"/>
                <w:sz w:val="22"/>
                <w:szCs w:val="22"/>
                <w:lang w:eastAsia="en-GB"/>
              </w:rPr>
              <w:t>388</w:t>
            </w:r>
          </w:p>
        </w:tc>
        <w:tc>
          <w:tcPr>
            <w:tcW w:w="1418" w:type="dxa"/>
            <w:shd w:val="clear" w:color="auto" w:fill="auto"/>
            <w:noWrap/>
            <w:vAlign w:val="center"/>
            <w:hideMark/>
          </w:tcPr>
          <w:p w:rsidR="00AC6440" w:rsidRPr="00A27CF3" w:rsidRDefault="002E29C1" w:rsidP="00BE3267">
            <w:pPr>
              <w:autoSpaceDE/>
              <w:autoSpaceDN/>
              <w:adjustRightInd/>
              <w:spacing w:after="0"/>
              <w:jc w:val="center"/>
              <w:rPr>
                <w:rFonts w:eastAsia="Times New Roman" w:cs="Arial"/>
                <w:sz w:val="22"/>
                <w:szCs w:val="22"/>
                <w:lang w:eastAsia="en-GB"/>
              </w:rPr>
            </w:pPr>
            <w:r w:rsidRPr="00A27CF3">
              <w:rPr>
                <w:rFonts w:eastAsia="Times New Roman" w:cs="Arial"/>
                <w:sz w:val="22"/>
                <w:szCs w:val="22"/>
                <w:lang w:eastAsia="en-GB"/>
              </w:rPr>
              <w:t>3053</w:t>
            </w:r>
          </w:p>
        </w:tc>
      </w:tr>
      <w:tr w:rsidR="00040D04" w:rsidTr="00BE3267">
        <w:trPr>
          <w:trHeight w:val="300"/>
        </w:trPr>
        <w:tc>
          <w:tcPr>
            <w:tcW w:w="4390" w:type="dxa"/>
            <w:shd w:val="clear" w:color="auto" w:fill="auto"/>
            <w:noWrap/>
            <w:vAlign w:val="bottom"/>
            <w:hideMark/>
          </w:tcPr>
          <w:p w:rsidR="003023A4" w:rsidRPr="00A27CF3" w:rsidRDefault="002E29C1" w:rsidP="003023A4">
            <w:pPr>
              <w:autoSpaceDE/>
              <w:autoSpaceDN/>
              <w:adjustRightInd/>
              <w:spacing w:after="0"/>
              <w:jc w:val="left"/>
              <w:rPr>
                <w:rFonts w:eastAsia="Times New Roman" w:cs="Arial"/>
                <w:sz w:val="22"/>
                <w:szCs w:val="22"/>
                <w:lang w:eastAsia="en-GB"/>
              </w:rPr>
            </w:pPr>
            <w:r w:rsidRPr="00A27CF3">
              <w:rPr>
                <w:rFonts w:eastAsia="Times New Roman" w:cs="Arial"/>
                <w:sz w:val="22"/>
                <w:szCs w:val="22"/>
                <w:lang w:eastAsia="en-GB"/>
              </w:rPr>
              <w:t>Aug-18 number of days per month</w:t>
            </w:r>
          </w:p>
        </w:tc>
        <w:tc>
          <w:tcPr>
            <w:tcW w:w="997" w:type="dxa"/>
            <w:shd w:val="clear" w:color="auto" w:fill="auto"/>
            <w:noWrap/>
            <w:vAlign w:val="center"/>
            <w:hideMark/>
          </w:tcPr>
          <w:p w:rsidR="003023A4" w:rsidRPr="00A27CF3" w:rsidRDefault="002E29C1" w:rsidP="00BE3267">
            <w:pPr>
              <w:autoSpaceDE/>
              <w:autoSpaceDN/>
              <w:adjustRightInd/>
              <w:spacing w:after="0"/>
              <w:jc w:val="center"/>
              <w:rPr>
                <w:rFonts w:eastAsia="Times New Roman" w:cs="Arial"/>
                <w:color w:val="auto"/>
                <w:sz w:val="22"/>
                <w:szCs w:val="22"/>
                <w:lang w:eastAsia="en-GB"/>
              </w:rPr>
            </w:pPr>
            <w:r w:rsidRPr="00A27CF3">
              <w:rPr>
                <w:rFonts w:eastAsia="Times New Roman" w:cs="Arial"/>
                <w:color w:val="auto"/>
                <w:sz w:val="22"/>
                <w:szCs w:val="22"/>
                <w:lang w:eastAsia="en-GB"/>
              </w:rPr>
              <w:t>1568</w:t>
            </w:r>
          </w:p>
        </w:tc>
        <w:tc>
          <w:tcPr>
            <w:tcW w:w="1134" w:type="dxa"/>
            <w:shd w:val="clear" w:color="auto" w:fill="auto"/>
            <w:noWrap/>
            <w:vAlign w:val="center"/>
            <w:hideMark/>
          </w:tcPr>
          <w:p w:rsidR="003023A4" w:rsidRPr="00A27CF3" w:rsidRDefault="002E29C1" w:rsidP="00BE3267">
            <w:pPr>
              <w:spacing w:after="0"/>
              <w:jc w:val="center"/>
              <w:rPr>
                <w:rFonts w:eastAsia="Times New Roman" w:cs="Arial"/>
                <w:color w:val="auto"/>
                <w:sz w:val="22"/>
                <w:szCs w:val="22"/>
                <w:lang w:eastAsia="en-GB"/>
              </w:rPr>
            </w:pPr>
            <w:r w:rsidRPr="00A27CF3">
              <w:rPr>
                <w:rFonts w:eastAsia="Times New Roman" w:cs="Arial"/>
                <w:color w:val="auto"/>
                <w:sz w:val="22"/>
                <w:szCs w:val="22"/>
                <w:lang w:eastAsia="en-GB"/>
              </w:rPr>
              <w:t>1232</w:t>
            </w:r>
          </w:p>
        </w:tc>
        <w:tc>
          <w:tcPr>
            <w:tcW w:w="992" w:type="dxa"/>
            <w:shd w:val="clear" w:color="auto" w:fill="auto"/>
            <w:noWrap/>
            <w:vAlign w:val="center"/>
            <w:hideMark/>
          </w:tcPr>
          <w:p w:rsidR="003023A4" w:rsidRPr="00A27CF3" w:rsidRDefault="002E29C1" w:rsidP="00BE3267">
            <w:pPr>
              <w:spacing w:after="0"/>
              <w:jc w:val="center"/>
              <w:rPr>
                <w:rFonts w:eastAsia="Times New Roman" w:cs="Arial"/>
                <w:color w:val="auto"/>
                <w:sz w:val="22"/>
                <w:szCs w:val="22"/>
                <w:lang w:eastAsia="en-GB"/>
              </w:rPr>
            </w:pPr>
            <w:r w:rsidRPr="00A27CF3">
              <w:rPr>
                <w:rFonts w:eastAsia="Times New Roman" w:cs="Arial"/>
                <w:color w:val="auto"/>
                <w:sz w:val="22"/>
                <w:szCs w:val="22"/>
                <w:lang w:eastAsia="en-GB"/>
              </w:rPr>
              <w:t>184</w:t>
            </w:r>
          </w:p>
        </w:tc>
        <w:tc>
          <w:tcPr>
            <w:tcW w:w="1418" w:type="dxa"/>
            <w:shd w:val="clear" w:color="auto" w:fill="auto"/>
            <w:noWrap/>
            <w:vAlign w:val="center"/>
            <w:hideMark/>
          </w:tcPr>
          <w:p w:rsidR="003023A4" w:rsidRPr="00A27CF3" w:rsidRDefault="002E29C1" w:rsidP="00BE3267">
            <w:pPr>
              <w:spacing w:after="0"/>
              <w:jc w:val="center"/>
              <w:rPr>
                <w:rFonts w:eastAsia="Times New Roman" w:cs="Arial"/>
                <w:color w:val="auto"/>
                <w:sz w:val="22"/>
                <w:szCs w:val="22"/>
                <w:lang w:eastAsia="en-GB"/>
              </w:rPr>
            </w:pPr>
            <w:r w:rsidRPr="00A27CF3">
              <w:rPr>
                <w:rFonts w:eastAsia="Times New Roman" w:cs="Arial"/>
                <w:color w:val="auto"/>
                <w:sz w:val="22"/>
                <w:szCs w:val="22"/>
                <w:lang w:eastAsia="en-GB"/>
              </w:rPr>
              <w:t>2984</w:t>
            </w:r>
          </w:p>
        </w:tc>
      </w:tr>
      <w:tr w:rsidR="00040D04" w:rsidTr="00BE3267">
        <w:trPr>
          <w:trHeight w:val="300"/>
        </w:trPr>
        <w:tc>
          <w:tcPr>
            <w:tcW w:w="4390" w:type="dxa"/>
            <w:shd w:val="clear" w:color="auto" w:fill="auto"/>
            <w:noWrap/>
            <w:vAlign w:val="bottom"/>
            <w:hideMark/>
          </w:tcPr>
          <w:p w:rsidR="00A27CF3" w:rsidRPr="00A27CF3" w:rsidRDefault="002E29C1" w:rsidP="00A27CF3">
            <w:pPr>
              <w:autoSpaceDE/>
              <w:autoSpaceDN/>
              <w:adjustRightInd/>
              <w:spacing w:after="0"/>
              <w:jc w:val="left"/>
              <w:rPr>
                <w:rFonts w:eastAsia="Times New Roman" w:cs="Arial"/>
                <w:sz w:val="22"/>
                <w:szCs w:val="22"/>
                <w:lang w:eastAsia="en-GB"/>
              </w:rPr>
            </w:pPr>
            <w:r w:rsidRPr="00A27CF3">
              <w:rPr>
                <w:rFonts w:eastAsia="Times New Roman" w:cs="Arial"/>
                <w:sz w:val="22"/>
                <w:szCs w:val="22"/>
                <w:lang w:eastAsia="en-GB"/>
              </w:rPr>
              <w:t>Aug-18 number of DToC bed days</w:t>
            </w:r>
          </w:p>
        </w:tc>
        <w:tc>
          <w:tcPr>
            <w:tcW w:w="997" w:type="dxa"/>
            <w:shd w:val="clear" w:color="auto" w:fill="auto"/>
            <w:noWrap/>
            <w:vAlign w:val="center"/>
            <w:hideMark/>
          </w:tcPr>
          <w:p w:rsidR="00A27CF3" w:rsidRPr="00A27CF3" w:rsidRDefault="002E29C1" w:rsidP="00BE3267">
            <w:pPr>
              <w:autoSpaceDE/>
              <w:autoSpaceDN/>
              <w:adjustRightInd/>
              <w:spacing w:after="0"/>
              <w:jc w:val="center"/>
              <w:rPr>
                <w:rFonts w:eastAsia="Times New Roman" w:cs="Arial"/>
                <w:b/>
                <w:color w:val="auto"/>
                <w:sz w:val="22"/>
                <w:szCs w:val="22"/>
                <w:lang w:eastAsia="en-GB"/>
              </w:rPr>
            </w:pPr>
            <w:r w:rsidRPr="00A27CF3">
              <w:rPr>
                <w:rFonts w:eastAsia="Times New Roman" w:cs="Arial"/>
                <w:b/>
                <w:color w:val="auto"/>
                <w:sz w:val="22"/>
                <w:szCs w:val="22"/>
                <w:lang w:eastAsia="en-GB"/>
              </w:rPr>
              <w:t>50.6</w:t>
            </w:r>
          </w:p>
        </w:tc>
        <w:tc>
          <w:tcPr>
            <w:tcW w:w="1134" w:type="dxa"/>
            <w:shd w:val="clear" w:color="auto" w:fill="auto"/>
            <w:noWrap/>
            <w:vAlign w:val="center"/>
            <w:hideMark/>
          </w:tcPr>
          <w:p w:rsidR="00A27CF3" w:rsidRPr="00A27CF3" w:rsidRDefault="002E29C1" w:rsidP="00BE3267">
            <w:pPr>
              <w:spacing w:after="0"/>
              <w:jc w:val="center"/>
              <w:rPr>
                <w:rFonts w:eastAsia="Times New Roman" w:cs="Arial"/>
                <w:b/>
                <w:color w:val="auto"/>
                <w:sz w:val="22"/>
                <w:szCs w:val="22"/>
                <w:lang w:eastAsia="en-GB"/>
              </w:rPr>
            </w:pPr>
            <w:r w:rsidRPr="00A27CF3">
              <w:rPr>
                <w:rFonts w:eastAsia="Times New Roman" w:cs="Arial"/>
                <w:b/>
                <w:color w:val="auto"/>
                <w:sz w:val="22"/>
                <w:szCs w:val="22"/>
                <w:lang w:eastAsia="en-GB"/>
              </w:rPr>
              <w:t>39.7</w:t>
            </w:r>
          </w:p>
        </w:tc>
        <w:tc>
          <w:tcPr>
            <w:tcW w:w="992" w:type="dxa"/>
            <w:shd w:val="clear" w:color="auto" w:fill="auto"/>
            <w:noWrap/>
            <w:vAlign w:val="center"/>
            <w:hideMark/>
          </w:tcPr>
          <w:p w:rsidR="00A27CF3" w:rsidRPr="00A27CF3" w:rsidRDefault="002E29C1" w:rsidP="00BE3267">
            <w:pPr>
              <w:spacing w:after="0"/>
              <w:jc w:val="center"/>
              <w:rPr>
                <w:rFonts w:eastAsia="Times New Roman" w:cs="Arial"/>
                <w:b/>
                <w:color w:val="auto"/>
                <w:sz w:val="22"/>
                <w:szCs w:val="22"/>
                <w:lang w:eastAsia="en-GB"/>
              </w:rPr>
            </w:pPr>
            <w:r w:rsidRPr="00A27CF3">
              <w:rPr>
                <w:rFonts w:eastAsia="Times New Roman" w:cs="Arial"/>
                <w:b/>
                <w:color w:val="auto"/>
                <w:sz w:val="22"/>
                <w:szCs w:val="22"/>
                <w:lang w:eastAsia="en-GB"/>
              </w:rPr>
              <w:t>5.9</w:t>
            </w:r>
          </w:p>
        </w:tc>
        <w:tc>
          <w:tcPr>
            <w:tcW w:w="1418" w:type="dxa"/>
            <w:shd w:val="clear" w:color="auto" w:fill="auto"/>
            <w:noWrap/>
            <w:vAlign w:val="center"/>
            <w:hideMark/>
          </w:tcPr>
          <w:p w:rsidR="00A27CF3" w:rsidRPr="00A27CF3" w:rsidRDefault="002E29C1" w:rsidP="00BE3267">
            <w:pPr>
              <w:spacing w:after="0"/>
              <w:jc w:val="center"/>
              <w:rPr>
                <w:rFonts w:eastAsia="Times New Roman" w:cs="Arial"/>
                <w:b/>
                <w:color w:val="auto"/>
                <w:sz w:val="22"/>
                <w:szCs w:val="22"/>
                <w:lang w:eastAsia="en-GB"/>
              </w:rPr>
            </w:pPr>
            <w:r w:rsidRPr="00A27CF3">
              <w:rPr>
                <w:rFonts w:eastAsia="Times New Roman" w:cs="Arial"/>
                <w:b/>
                <w:color w:val="auto"/>
                <w:sz w:val="22"/>
                <w:szCs w:val="22"/>
                <w:lang w:eastAsia="en-GB"/>
              </w:rPr>
              <w:t>96.3</w:t>
            </w:r>
          </w:p>
        </w:tc>
      </w:tr>
      <w:tr w:rsidR="00040D04" w:rsidTr="00BE3267">
        <w:trPr>
          <w:trHeight w:val="300"/>
        </w:trPr>
        <w:tc>
          <w:tcPr>
            <w:tcW w:w="4390" w:type="dxa"/>
            <w:shd w:val="clear" w:color="auto" w:fill="auto"/>
            <w:noWrap/>
            <w:vAlign w:val="bottom"/>
            <w:hideMark/>
          </w:tcPr>
          <w:p w:rsidR="00A27CF3" w:rsidRPr="00A27CF3" w:rsidRDefault="002E29C1" w:rsidP="00A27CF3">
            <w:pPr>
              <w:autoSpaceDE/>
              <w:autoSpaceDN/>
              <w:adjustRightInd/>
              <w:spacing w:after="0"/>
              <w:jc w:val="left"/>
              <w:rPr>
                <w:rFonts w:eastAsia="Times New Roman" w:cs="Arial"/>
                <w:sz w:val="22"/>
                <w:szCs w:val="22"/>
                <w:lang w:eastAsia="en-GB"/>
              </w:rPr>
            </w:pPr>
            <w:r w:rsidRPr="00A27CF3">
              <w:rPr>
                <w:rFonts w:eastAsia="Times New Roman" w:cs="Arial"/>
                <w:sz w:val="22"/>
                <w:szCs w:val="22"/>
                <w:lang w:eastAsia="en-GB"/>
              </w:rPr>
              <w:t>Aug-18 number of DToC bed days per 100,000 pop</w:t>
            </w:r>
          </w:p>
        </w:tc>
        <w:tc>
          <w:tcPr>
            <w:tcW w:w="997" w:type="dxa"/>
            <w:shd w:val="clear" w:color="auto" w:fill="auto"/>
            <w:noWrap/>
            <w:vAlign w:val="center"/>
            <w:hideMark/>
          </w:tcPr>
          <w:p w:rsidR="00A27CF3" w:rsidRPr="00A27CF3" w:rsidRDefault="002E29C1" w:rsidP="00BE3267">
            <w:pPr>
              <w:autoSpaceDE/>
              <w:autoSpaceDN/>
              <w:adjustRightInd/>
              <w:spacing w:after="0"/>
              <w:jc w:val="center"/>
              <w:rPr>
                <w:rFonts w:eastAsia="Times New Roman" w:cs="Arial"/>
                <w:color w:val="auto"/>
                <w:sz w:val="22"/>
                <w:szCs w:val="22"/>
                <w:lang w:eastAsia="en-GB"/>
              </w:rPr>
            </w:pPr>
            <w:r w:rsidRPr="00A27CF3">
              <w:rPr>
                <w:rFonts w:eastAsia="Times New Roman" w:cs="Arial"/>
                <w:color w:val="auto"/>
                <w:sz w:val="22"/>
                <w:szCs w:val="22"/>
                <w:lang w:eastAsia="en-GB"/>
              </w:rPr>
              <w:t>5.3</w:t>
            </w:r>
          </w:p>
        </w:tc>
        <w:tc>
          <w:tcPr>
            <w:tcW w:w="1134" w:type="dxa"/>
            <w:shd w:val="clear" w:color="auto" w:fill="auto"/>
            <w:noWrap/>
            <w:vAlign w:val="center"/>
            <w:hideMark/>
          </w:tcPr>
          <w:p w:rsidR="00A27CF3" w:rsidRPr="00A27CF3" w:rsidRDefault="002E29C1" w:rsidP="00BE3267">
            <w:pPr>
              <w:spacing w:after="0"/>
              <w:jc w:val="center"/>
              <w:rPr>
                <w:rFonts w:eastAsia="Times New Roman" w:cs="Arial"/>
                <w:color w:val="auto"/>
                <w:sz w:val="22"/>
                <w:szCs w:val="22"/>
                <w:lang w:eastAsia="en-GB"/>
              </w:rPr>
            </w:pPr>
            <w:r w:rsidRPr="00A27CF3">
              <w:rPr>
                <w:rFonts w:eastAsia="Times New Roman" w:cs="Arial"/>
                <w:color w:val="auto"/>
                <w:sz w:val="22"/>
                <w:szCs w:val="22"/>
                <w:lang w:eastAsia="en-GB"/>
              </w:rPr>
              <w:t>4.2</w:t>
            </w:r>
          </w:p>
        </w:tc>
        <w:tc>
          <w:tcPr>
            <w:tcW w:w="992" w:type="dxa"/>
            <w:shd w:val="clear" w:color="auto" w:fill="auto"/>
            <w:noWrap/>
            <w:vAlign w:val="center"/>
            <w:hideMark/>
          </w:tcPr>
          <w:p w:rsidR="00A27CF3" w:rsidRPr="00A27CF3" w:rsidRDefault="002E29C1" w:rsidP="00BE3267">
            <w:pPr>
              <w:spacing w:after="0"/>
              <w:jc w:val="center"/>
              <w:rPr>
                <w:rFonts w:eastAsia="Times New Roman" w:cs="Arial"/>
                <w:color w:val="auto"/>
                <w:sz w:val="22"/>
                <w:szCs w:val="22"/>
                <w:lang w:eastAsia="en-GB"/>
              </w:rPr>
            </w:pPr>
            <w:r w:rsidRPr="00A27CF3">
              <w:rPr>
                <w:rFonts w:eastAsia="Times New Roman" w:cs="Arial"/>
                <w:color w:val="auto"/>
                <w:sz w:val="22"/>
                <w:szCs w:val="22"/>
                <w:lang w:eastAsia="en-GB"/>
              </w:rPr>
              <w:t>0.6</w:t>
            </w:r>
          </w:p>
        </w:tc>
        <w:tc>
          <w:tcPr>
            <w:tcW w:w="1418" w:type="dxa"/>
            <w:shd w:val="clear" w:color="auto" w:fill="auto"/>
            <w:noWrap/>
            <w:vAlign w:val="center"/>
            <w:hideMark/>
          </w:tcPr>
          <w:p w:rsidR="00A27CF3" w:rsidRPr="00A27CF3" w:rsidRDefault="002E29C1" w:rsidP="00BE3267">
            <w:pPr>
              <w:spacing w:after="0"/>
              <w:jc w:val="center"/>
              <w:rPr>
                <w:rFonts w:eastAsia="Times New Roman" w:cs="Arial"/>
                <w:color w:val="auto"/>
                <w:sz w:val="22"/>
                <w:szCs w:val="22"/>
                <w:lang w:eastAsia="en-GB"/>
              </w:rPr>
            </w:pPr>
            <w:r w:rsidRPr="00A27CF3">
              <w:rPr>
                <w:rFonts w:eastAsia="Times New Roman" w:cs="Arial"/>
                <w:color w:val="auto"/>
                <w:sz w:val="22"/>
                <w:szCs w:val="22"/>
                <w:lang w:eastAsia="en-GB"/>
              </w:rPr>
              <w:t>10.1</w:t>
            </w:r>
          </w:p>
        </w:tc>
      </w:tr>
      <w:tr w:rsidR="00040D04" w:rsidTr="00BE3267">
        <w:trPr>
          <w:trHeight w:val="300"/>
        </w:trPr>
        <w:tc>
          <w:tcPr>
            <w:tcW w:w="4390" w:type="dxa"/>
            <w:noWrap/>
            <w:vAlign w:val="center"/>
          </w:tcPr>
          <w:p w:rsidR="00BE3267" w:rsidRPr="00A27CF3" w:rsidRDefault="002E29C1" w:rsidP="00BE3267">
            <w:pPr>
              <w:spacing w:after="0"/>
              <w:jc w:val="left"/>
              <w:rPr>
                <w:rFonts w:cs="Arial"/>
                <w:sz w:val="22"/>
                <w:szCs w:val="22"/>
                <w:lang w:eastAsia="en-GB"/>
              </w:rPr>
            </w:pPr>
            <w:r w:rsidRPr="00A27CF3">
              <w:rPr>
                <w:rFonts w:cs="Arial"/>
                <w:sz w:val="22"/>
                <w:szCs w:val="22"/>
                <w:lang w:eastAsia="en-GB"/>
              </w:rPr>
              <w:t>Rank Aug-18 DToC Bed Days per 100,000 18+ pop</w:t>
            </w:r>
          </w:p>
        </w:tc>
        <w:tc>
          <w:tcPr>
            <w:tcW w:w="997" w:type="dxa"/>
            <w:tcBorders>
              <w:top w:val="single" w:sz="4" w:space="0" w:color="auto"/>
              <w:left w:val="single" w:sz="4" w:space="0" w:color="auto"/>
              <w:bottom w:val="single" w:sz="4" w:space="0" w:color="auto"/>
              <w:right w:val="single" w:sz="4" w:space="0" w:color="auto"/>
            </w:tcBorders>
            <w:shd w:val="clear" w:color="000000" w:fill="F4E883"/>
            <w:noWrap/>
            <w:vAlign w:val="center"/>
          </w:tcPr>
          <w:p w:rsidR="00BE3267" w:rsidRPr="00BE3267" w:rsidRDefault="002E29C1" w:rsidP="00BE3267">
            <w:pPr>
              <w:autoSpaceDE/>
              <w:autoSpaceDN/>
              <w:adjustRightInd/>
              <w:spacing w:after="0"/>
              <w:jc w:val="center"/>
              <w:rPr>
                <w:rFonts w:eastAsia="Times New Roman" w:cs="Arial"/>
                <w:sz w:val="22"/>
                <w:szCs w:val="22"/>
                <w:lang w:eastAsia="en-GB"/>
              </w:rPr>
            </w:pPr>
            <w:r w:rsidRPr="00BE3267">
              <w:rPr>
                <w:rFonts w:cs="Arial"/>
                <w:sz w:val="22"/>
                <w:szCs w:val="22"/>
              </w:rPr>
              <w:t>71</w:t>
            </w:r>
          </w:p>
        </w:tc>
        <w:tc>
          <w:tcPr>
            <w:tcW w:w="1134" w:type="dxa"/>
            <w:tcBorders>
              <w:top w:val="single" w:sz="4" w:space="0" w:color="auto"/>
              <w:left w:val="single" w:sz="4" w:space="0" w:color="auto"/>
              <w:bottom w:val="single" w:sz="4" w:space="0" w:color="auto"/>
              <w:right w:val="single" w:sz="4" w:space="0" w:color="auto"/>
            </w:tcBorders>
            <w:shd w:val="clear" w:color="000000" w:fill="FCAA78"/>
            <w:noWrap/>
            <w:vAlign w:val="center"/>
          </w:tcPr>
          <w:p w:rsidR="00BE3267" w:rsidRPr="00BE3267" w:rsidRDefault="002E29C1" w:rsidP="00BE3267">
            <w:pPr>
              <w:spacing w:after="0"/>
              <w:jc w:val="center"/>
              <w:rPr>
                <w:rFonts w:cs="Arial"/>
                <w:sz w:val="22"/>
                <w:szCs w:val="22"/>
              </w:rPr>
            </w:pPr>
            <w:r w:rsidRPr="00BE3267">
              <w:rPr>
                <w:rFonts w:cs="Arial"/>
                <w:sz w:val="22"/>
                <w:szCs w:val="22"/>
              </w:rPr>
              <w:t>114</w:t>
            </w:r>
          </w:p>
        </w:tc>
        <w:tc>
          <w:tcPr>
            <w:tcW w:w="992" w:type="dxa"/>
            <w:tcBorders>
              <w:top w:val="single" w:sz="4" w:space="0" w:color="auto"/>
              <w:left w:val="single" w:sz="4" w:space="0" w:color="auto"/>
              <w:bottom w:val="single" w:sz="4" w:space="0" w:color="auto"/>
              <w:right w:val="single" w:sz="4" w:space="0" w:color="auto"/>
            </w:tcBorders>
            <w:shd w:val="clear" w:color="000000" w:fill="FDB87B"/>
            <w:noWrap/>
            <w:vAlign w:val="center"/>
          </w:tcPr>
          <w:p w:rsidR="00BE3267" w:rsidRPr="00BE3267" w:rsidRDefault="002E29C1" w:rsidP="00BE3267">
            <w:pPr>
              <w:spacing w:after="0"/>
              <w:jc w:val="center"/>
              <w:rPr>
                <w:rFonts w:cs="Arial"/>
                <w:sz w:val="22"/>
                <w:szCs w:val="22"/>
              </w:rPr>
            </w:pPr>
            <w:r w:rsidRPr="00BE3267">
              <w:rPr>
                <w:rFonts w:cs="Arial"/>
                <w:sz w:val="22"/>
                <w:szCs w:val="22"/>
              </w:rPr>
              <w:t>106</w:t>
            </w:r>
          </w:p>
        </w:tc>
        <w:tc>
          <w:tcPr>
            <w:tcW w:w="1418" w:type="dxa"/>
            <w:tcBorders>
              <w:top w:val="single" w:sz="4" w:space="0" w:color="auto"/>
              <w:left w:val="single" w:sz="4" w:space="0" w:color="auto"/>
              <w:bottom w:val="single" w:sz="4" w:space="0" w:color="auto"/>
              <w:right w:val="single" w:sz="4" w:space="0" w:color="auto"/>
            </w:tcBorders>
            <w:shd w:val="clear" w:color="000000" w:fill="FED881"/>
            <w:noWrap/>
            <w:vAlign w:val="center"/>
          </w:tcPr>
          <w:p w:rsidR="00BE3267" w:rsidRPr="00BE3267" w:rsidRDefault="002E29C1" w:rsidP="00BE3267">
            <w:pPr>
              <w:spacing w:after="0"/>
              <w:jc w:val="center"/>
              <w:rPr>
                <w:rFonts w:cs="Arial"/>
                <w:sz w:val="22"/>
                <w:szCs w:val="22"/>
              </w:rPr>
            </w:pPr>
            <w:r w:rsidRPr="00BE3267">
              <w:rPr>
                <w:rFonts w:cs="Arial"/>
                <w:sz w:val="22"/>
                <w:szCs w:val="22"/>
              </w:rPr>
              <w:t>87</w:t>
            </w:r>
          </w:p>
        </w:tc>
      </w:tr>
    </w:tbl>
    <w:p w:rsidR="00AC6440" w:rsidRPr="00A27CF3" w:rsidRDefault="00AC7EBD" w:rsidP="00EF7837">
      <w:pPr>
        <w:spacing w:after="160" w:line="259" w:lineRule="auto"/>
        <w:rPr>
          <w:sz w:val="23"/>
          <w:szCs w:val="23"/>
        </w:rPr>
      </w:pPr>
    </w:p>
    <w:p w:rsidR="007A7603" w:rsidRPr="00E03C36" w:rsidRDefault="002E29C1" w:rsidP="000B5F9B">
      <w:pPr>
        <w:spacing w:after="160" w:line="259" w:lineRule="auto"/>
        <w:rPr>
          <w:rFonts w:cs="Arial"/>
        </w:rPr>
      </w:pPr>
      <w:r w:rsidRPr="00A27CF3">
        <w:rPr>
          <w:rFonts w:cs="Arial"/>
        </w:rPr>
        <w:t xml:space="preserve">The </w:t>
      </w:r>
      <w:r w:rsidRPr="00E03C36">
        <w:rPr>
          <w:rFonts w:cs="Arial"/>
        </w:rPr>
        <w:t xml:space="preserve">overall Aug-18 Lancashire total of 2984 days equates to 10.1 DToC bed days per 100,000 population aged 18+ and the Lancashire Aug-18 social care figure of 1232 days equates to 4.2. Out of 151 authorities Lancashire currently rank </w:t>
      </w:r>
      <w:r>
        <w:rPr>
          <w:rFonts w:cs="Arial"/>
        </w:rPr>
        <w:t>87</w:t>
      </w:r>
      <w:r w:rsidRPr="007875CB">
        <w:rPr>
          <w:rFonts w:cs="Arial"/>
          <w:vertAlign w:val="superscript"/>
        </w:rPr>
        <w:t>th</w:t>
      </w:r>
      <w:r>
        <w:rPr>
          <w:rFonts w:cs="Arial"/>
        </w:rPr>
        <w:t xml:space="preserve"> </w:t>
      </w:r>
      <w:r w:rsidRPr="00E03C36">
        <w:rPr>
          <w:rFonts w:cs="Arial"/>
        </w:rPr>
        <w:t>for total DToC bed days per 100,000 pop aged 18+ (compared with 93</w:t>
      </w:r>
      <w:r w:rsidRPr="00E03C36">
        <w:rPr>
          <w:rFonts w:cs="Arial"/>
          <w:vertAlign w:val="superscript"/>
        </w:rPr>
        <w:t>rd</w:t>
      </w:r>
      <w:r w:rsidRPr="00E03C36">
        <w:rPr>
          <w:rFonts w:cs="Arial"/>
        </w:rPr>
        <w:t xml:space="preserve"> in Jul-18) </w:t>
      </w:r>
      <w:r w:rsidRPr="007875CB">
        <w:rPr>
          <w:rFonts w:cs="Arial"/>
        </w:rPr>
        <w:t>and 114</w:t>
      </w:r>
      <w:r w:rsidRPr="007875CB">
        <w:rPr>
          <w:rFonts w:cs="Arial"/>
          <w:vertAlign w:val="superscript"/>
        </w:rPr>
        <w:t>th</w:t>
      </w:r>
      <w:r w:rsidRPr="007875CB">
        <w:rPr>
          <w:rFonts w:cs="Arial"/>
        </w:rPr>
        <w:t xml:space="preserve"> for social care bed days (compared with 107</w:t>
      </w:r>
      <w:r w:rsidRPr="007875CB">
        <w:rPr>
          <w:rFonts w:cs="Arial"/>
          <w:vertAlign w:val="superscript"/>
        </w:rPr>
        <w:t>th</w:t>
      </w:r>
      <w:r w:rsidRPr="007875CB">
        <w:rPr>
          <w:rFonts w:cs="Arial"/>
        </w:rPr>
        <w:t xml:space="preserve"> in Jul-18).</w:t>
      </w:r>
    </w:p>
    <w:p w:rsidR="00A205BE" w:rsidRPr="00E03C36" w:rsidRDefault="002E29C1" w:rsidP="00FE75DA">
      <w:pPr>
        <w:spacing w:after="160" w:line="259" w:lineRule="auto"/>
        <w:rPr>
          <w:rFonts w:cs="Arial"/>
        </w:rPr>
      </w:pPr>
      <w:r w:rsidRPr="00E03C36">
        <w:rPr>
          <w:rFonts w:cs="Arial"/>
        </w:rPr>
        <w:t xml:space="preserve">The </w:t>
      </w:r>
      <w:r>
        <w:rPr>
          <w:rFonts w:cs="Arial"/>
        </w:rPr>
        <w:t>Aug</w:t>
      </w:r>
      <w:r w:rsidRPr="00E03C36">
        <w:rPr>
          <w:rFonts w:cs="Arial"/>
        </w:rPr>
        <w:t xml:space="preserve">-18 figures </w:t>
      </w:r>
      <w:r>
        <w:rPr>
          <w:rFonts w:cs="Arial"/>
        </w:rPr>
        <w:t>show a slight interruption to</w:t>
      </w:r>
      <w:r w:rsidRPr="00E03C36">
        <w:rPr>
          <w:rFonts w:cs="Arial"/>
        </w:rPr>
        <w:t xml:space="preserve"> the overall improvement in Lancashire:</w:t>
      </w:r>
    </w:p>
    <w:tbl>
      <w:tblPr>
        <w:tblW w:w="5000" w:type="pct"/>
        <w:tblLayout w:type="fixed"/>
        <w:tblLook w:val="04A0" w:firstRow="1" w:lastRow="0" w:firstColumn="1" w:lastColumn="0" w:noHBand="0" w:noVBand="1"/>
      </w:tblPr>
      <w:tblGrid>
        <w:gridCol w:w="2686"/>
        <w:gridCol w:w="632"/>
        <w:gridCol w:w="632"/>
        <w:gridCol w:w="632"/>
        <w:gridCol w:w="632"/>
        <w:gridCol w:w="633"/>
        <w:gridCol w:w="633"/>
        <w:gridCol w:w="633"/>
        <w:gridCol w:w="633"/>
        <w:gridCol w:w="613"/>
        <w:gridCol w:w="651"/>
      </w:tblGrid>
      <w:tr w:rsidR="00040D04" w:rsidTr="00E03C36">
        <w:trPr>
          <w:trHeight w:val="300"/>
        </w:trPr>
        <w:tc>
          <w:tcPr>
            <w:tcW w:w="149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03C36" w:rsidRPr="00E03C36" w:rsidRDefault="002E29C1" w:rsidP="00E03C36">
            <w:pPr>
              <w:autoSpaceDE/>
              <w:autoSpaceDN/>
              <w:adjustRightInd/>
              <w:spacing w:after="0"/>
              <w:jc w:val="left"/>
              <w:rPr>
                <w:rFonts w:ascii="Calibri" w:eastAsia="Times New Roman" w:hAnsi="Calibri" w:cs="Times New Roman"/>
                <w:b/>
                <w:sz w:val="22"/>
                <w:szCs w:val="22"/>
                <w:lang w:eastAsia="en-GB"/>
              </w:rPr>
            </w:pPr>
            <w:r w:rsidRPr="00E03C36">
              <w:rPr>
                <w:rFonts w:ascii="Calibri" w:eastAsia="Times New Roman" w:hAnsi="Calibri" w:cs="Times New Roman"/>
                <w:b/>
                <w:sz w:val="22"/>
                <w:szCs w:val="22"/>
                <w:lang w:eastAsia="en-GB"/>
              </w:rPr>
              <w:t>Lancashire DToC bed days per 100,000 18+ pop</w:t>
            </w:r>
          </w:p>
        </w:tc>
        <w:tc>
          <w:tcPr>
            <w:tcW w:w="351"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E03C36" w:rsidRPr="00E03C36" w:rsidRDefault="002E29C1" w:rsidP="00E03C36">
            <w:pPr>
              <w:autoSpaceDE/>
              <w:autoSpaceDN/>
              <w:adjustRightInd/>
              <w:spacing w:after="0"/>
              <w:jc w:val="right"/>
              <w:rPr>
                <w:rFonts w:ascii="Calibri" w:eastAsia="Times New Roman" w:hAnsi="Calibri" w:cs="Times New Roman"/>
                <w:b/>
                <w:sz w:val="22"/>
                <w:szCs w:val="22"/>
                <w:lang w:eastAsia="en-GB"/>
              </w:rPr>
            </w:pPr>
            <w:r w:rsidRPr="00E03C36">
              <w:rPr>
                <w:rFonts w:ascii="Calibri" w:hAnsi="Calibri"/>
                <w:b/>
                <w:sz w:val="22"/>
                <w:szCs w:val="22"/>
              </w:rPr>
              <w:t>Nov-17</w:t>
            </w:r>
          </w:p>
        </w:tc>
        <w:tc>
          <w:tcPr>
            <w:tcW w:w="351"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E03C36" w:rsidRPr="00E03C36" w:rsidRDefault="002E29C1" w:rsidP="00E03C36">
            <w:pPr>
              <w:spacing w:after="0"/>
              <w:jc w:val="right"/>
              <w:rPr>
                <w:rFonts w:ascii="Calibri" w:hAnsi="Calibri"/>
                <w:b/>
                <w:sz w:val="22"/>
                <w:szCs w:val="22"/>
              </w:rPr>
            </w:pPr>
            <w:r w:rsidRPr="00E03C36">
              <w:rPr>
                <w:rFonts w:ascii="Calibri" w:hAnsi="Calibri"/>
                <w:b/>
                <w:sz w:val="22"/>
                <w:szCs w:val="22"/>
              </w:rPr>
              <w:t>Dec</w:t>
            </w:r>
          </w:p>
          <w:p w:rsidR="00E03C36" w:rsidRPr="00E03C36" w:rsidRDefault="002E29C1" w:rsidP="00E03C36">
            <w:pPr>
              <w:spacing w:after="0"/>
              <w:jc w:val="right"/>
              <w:rPr>
                <w:rFonts w:ascii="Calibri" w:hAnsi="Calibri"/>
                <w:b/>
                <w:sz w:val="22"/>
                <w:szCs w:val="22"/>
              </w:rPr>
            </w:pPr>
            <w:r w:rsidRPr="00E03C36">
              <w:rPr>
                <w:rFonts w:ascii="Calibri" w:hAnsi="Calibri"/>
                <w:b/>
                <w:sz w:val="22"/>
                <w:szCs w:val="22"/>
              </w:rPr>
              <w:t>-17</w:t>
            </w:r>
          </w:p>
        </w:tc>
        <w:tc>
          <w:tcPr>
            <w:tcW w:w="351"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E03C36" w:rsidRPr="00E03C36" w:rsidRDefault="002E29C1" w:rsidP="00E03C36">
            <w:pPr>
              <w:spacing w:after="0"/>
              <w:jc w:val="right"/>
              <w:rPr>
                <w:rFonts w:ascii="Calibri" w:hAnsi="Calibri"/>
                <w:b/>
                <w:sz w:val="22"/>
                <w:szCs w:val="22"/>
              </w:rPr>
            </w:pPr>
            <w:r w:rsidRPr="00E03C36">
              <w:rPr>
                <w:rFonts w:ascii="Calibri" w:hAnsi="Calibri"/>
                <w:b/>
                <w:sz w:val="22"/>
                <w:szCs w:val="22"/>
              </w:rPr>
              <w:t>Jan</w:t>
            </w:r>
          </w:p>
          <w:p w:rsidR="00E03C36" w:rsidRPr="00E03C36" w:rsidRDefault="002E29C1" w:rsidP="00E03C36">
            <w:pPr>
              <w:spacing w:after="0"/>
              <w:jc w:val="right"/>
              <w:rPr>
                <w:rFonts w:ascii="Calibri" w:hAnsi="Calibri"/>
                <w:b/>
                <w:sz w:val="22"/>
                <w:szCs w:val="22"/>
              </w:rPr>
            </w:pPr>
            <w:r w:rsidRPr="00E03C36">
              <w:rPr>
                <w:rFonts w:ascii="Calibri" w:hAnsi="Calibri"/>
                <w:b/>
                <w:sz w:val="22"/>
                <w:szCs w:val="22"/>
              </w:rPr>
              <w:t>-18</w:t>
            </w:r>
          </w:p>
        </w:tc>
        <w:tc>
          <w:tcPr>
            <w:tcW w:w="351"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E03C36" w:rsidRPr="00E03C36" w:rsidRDefault="002E29C1" w:rsidP="00E03C36">
            <w:pPr>
              <w:spacing w:after="0"/>
              <w:jc w:val="right"/>
              <w:rPr>
                <w:rFonts w:ascii="Calibri" w:hAnsi="Calibri"/>
                <w:b/>
                <w:sz w:val="22"/>
                <w:szCs w:val="22"/>
              </w:rPr>
            </w:pPr>
            <w:r w:rsidRPr="00E03C36">
              <w:rPr>
                <w:rFonts w:ascii="Calibri" w:hAnsi="Calibri"/>
                <w:b/>
                <w:sz w:val="22"/>
                <w:szCs w:val="22"/>
              </w:rPr>
              <w:t>Feb</w:t>
            </w:r>
          </w:p>
          <w:p w:rsidR="00E03C36" w:rsidRPr="00E03C36" w:rsidRDefault="002E29C1" w:rsidP="00E03C36">
            <w:pPr>
              <w:spacing w:after="0"/>
              <w:jc w:val="right"/>
              <w:rPr>
                <w:rFonts w:ascii="Calibri" w:hAnsi="Calibri"/>
                <w:b/>
                <w:sz w:val="22"/>
                <w:szCs w:val="22"/>
              </w:rPr>
            </w:pPr>
            <w:r w:rsidRPr="00E03C36">
              <w:rPr>
                <w:rFonts w:ascii="Calibri" w:hAnsi="Calibri"/>
                <w:b/>
                <w:sz w:val="22"/>
                <w:szCs w:val="22"/>
              </w:rPr>
              <w:t>-18</w:t>
            </w:r>
          </w:p>
        </w:tc>
        <w:tc>
          <w:tcPr>
            <w:tcW w:w="351"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E03C36" w:rsidRPr="00E03C36" w:rsidRDefault="002E29C1" w:rsidP="00E03C36">
            <w:pPr>
              <w:spacing w:after="0"/>
              <w:jc w:val="right"/>
              <w:rPr>
                <w:rFonts w:ascii="Calibri" w:hAnsi="Calibri"/>
                <w:b/>
                <w:sz w:val="22"/>
                <w:szCs w:val="22"/>
              </w:rPr>
            </w:pPr>
            <w:r w:rsidRPr="00E03C36">
              <w:rPr>
                <w:rFonts w:ascii="Calibri" w:hAnsi="Calibri"/>
                <w:b/>
                <w:sz w:val="22"/>
                <w:szCs w:val="22"/>
              </w:rPr>
              <w:t>Mar-18</w:t>
            </w:r>
          </w:p>
        </w:tc>
        <w:tc>
          <w:tcPr>
            <w:tcW w:w="351"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E03C36" w:rsidRPr="00E03C36" w:rsidRDefault="002E29C1" w:rsidP="00E03C36">
            <w:pPr>
              <w:spacing w:after="0"/>
              <w:jc w:val="right"/>
              <w:rPr>
                <w:rFonts w:ascii="Calibri" w:hAnsi="Calibri"/>
                <w:b/>
                <w:sz w:val="22"/>
                <w:szCs w:val="22"/>
              </w:rPr>
            </w:pPr>
            <w:r w:rsidRPr="00E03C36">
              <w:rPr>
                <w:rFonts w:ascii="Calibri" w:hAnsi="Calibri"/>
                <w:b/>
                <w:sz w:val="22"/>
                <w:szCs w:val="22"/>
              </w:rPr>
              <w:t>Apr</w:t>
            </w:r>
          </w:p>
          <w:p w:rsidR="00E03C36" w:rsidRPr="00E03C36" w:rsidRDefault="002E29C1" w:rsidP="00E03C36">
            <w:pPr>
              <w:spacing w:after="0"/>
              <w:jc w:val="right"/>
              <w:rPr>
                <w:rFonts w:ascii="Calibri" w:hAnsi="Calibri"/>
                <w:b/>
                <w:sz w:val="22"/>
                <w:szCs w:val="22"/>
              </w:rPr>
            </w:pPr>
            <w:r w:rsidRPr="00E03C36">
              <w:rPr>
                <w:rFonts w:ascii="Calibri" w:hAnsi="Calibri"/>
                <w:b/>
                <w:sz w:val="22"/>
                <w:szCs w:val="22"/>
              </w:rPr>
              <w:t>-18</w:t>
            </w:r>
          </w:p>
        </w:tc>
        <w:tc>
          <w:tcPr>
            <w:tcW w:w="351"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E03C36" w:rsidRPr="00E03C36" w:rsidRDefault="002E29C1" w:rsidP="00E03C36">
            <w:pPr>
              <w:spacing w:after="0"/>
              <w:jc w:val="right"/>
              <w:rPr>
                <w:rFonts w:ascii="Calibri" w:hAnsi="Calibri"/>
                <w:b/>
                <w:sz w:val="22"/>
                <w:szCs w:val="22"/>
              </w:rPr>
            </w:pPr>
            <w:r w:rsidRPr="00E03C36">
              <w:rPr>
                <w:rFonts w:ascii="Calibri" w:hAnsi="Calibri"/>
                <w:b/>
                <w:sz w:val="22"/>
                <w:szCs w:val="22"/>
              </w:rPr>
              <w:t>May-18</w:t>
            </w:r>
          </w:p>
        </w:tc>
        <w:tc>
          <w:tcPr>
            <w:tcW w:w="351"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E03C36" w:rsidRPr="00E03C36" w:rsidRDefault="002E29C1" w:rsidP="00E03C36">
            <w:pPr>
              <w:spacing w:after="0"/>
              <w:jc w:val="right"/>
              <w:rPr>
                <w:rFonts w:ascii="Calibri" w:hAnsi="Calibri"/>
                <w:b/>
                <w:sz w:val="22"/>
                <w:szCs w:val="22"/>
              </w:rPr>
            </w:pPr>
            <w:r w:rsidRPr="00E03C36">
              <w:rPr>
                <w:rFonts w:ascii="Calibri" w:hAnsi="Calibri"/>
                <w:b/>
                <w:sz w:val="22"/>
                <w:szCs w:val="22"/>
              </w:rPr>
              <w:t>Jun</w:t>
            </w:r>
          </w:p>
          <w:p w:rsidR="00E03C36" w:rsidRPr="00E03C36" w:rsidRDefault="002E29C1" w:rsidP="00E03C36">
            <w:pPr>
              <w:spacing w:after="0"/>
              <w:jc w:val="right"/>
              <w:rPr>
                <w:rFonts w:ascii="Calibri" w:hAnsi="Calibri"/>
                <w:b/>
                <w:sz w:val="22"/>
                <w:szCs w:val="22"/>
              </w:rPr>
            </w:pPr>
            <w:r w:rsidRPr="00E03C36">
              <w:rPr>
                <w:rFonts w:ascii="Calibri" w:hAnsi="Calibri"/>
                <w:b/>
                <w:sz w:val="22"/>
                <w:szCs w:val="22"/>
              </w:rPr>
              <w:t>-18</w:t>
            </w:r>
          </w:p>
        </w:tc>
        <w:tc>
          <w:tcPr>
            <w:tcW w:w="340"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E03C36" w:rsidRPr="00E03C36" w:rsidRDefault="002E29C1" w:rsidP="00E03C36">
            <w:pPr>
              <w:spacing w:after="0"/>
              <w:jc w:val="right"/>
              <w:rPr>
                <w:rFonts w:ascii="Calibri" w:hAnsi="Calibri"/>
                <w:b/>
                <w:sz w:val="22"/>
                <w:szCs w:val="22"/>
              </w:rPr>
            </w:pPr>
            <w:r w:rsidRPr="00E03C36">
              <w:rPr>
                <w:rFonts w:ascii="Calibri" w:hAnsi="Calibri"/>
                <w:b/>
                <w:sz w:val="22"/>
                <w:szCs w:val="22"/>
              </w:rPr>
              <w:t>Jul</w:t>
            </w:r>
          </w:p>
          <w:p w:rsidR="00E03C36" w:rsidRPr="00E03C36" w:rsidRDefault="002E29C1" w:rsidP="00E03C36">
            <w:pPr>
              <w:spacing w:after="0"/>
              <w:jc w:val="right"/>
              <w:rPr>
                <w:rFonts w:ascii="Calibri" w:hAnsi="Calibri"/>
                <w:b/>
                <w:sz w:val="22"/>
                <w:szCs w:val="22"/>
              </w:rPr>
            </w:pPr>
            <w:r w:rsidRPr="00E03C36">
              <w:rPr>
                <w:rFonts w:ascii="Calibri" w:hAnsi="Calibri"/>
                <w:b/>
                <w:sz w:val="22"/>
                <w:szCs w:val="22"/>
              </w:rPr>
              <w:t>-18</w:t>
            </w:r>
          </w:p>
        </w:tc>
        <w:tc>
          <w:tcPr>
            <w:tcW w:w="361" w:type="pct"/>
            <w:tcBorders>
              <w:top w:val="single" w:sz="4" w:space="0" w:color="auto"/>
              <w:left w:val="nil"/>
              <w:bottom w:val="single" w:sz="4" w:space="0" w:color="auto"/>
              <w:right w:val="single" w:sz="4" w:space="0" w:color="auto"/>
            </w:tcBorders>
            <w:shd w:val="clear" w:color="auto" w:fill="D9D9D9" w:themeFill="background1" w:themeFillShade="D9"/>
            <w:vAlign w:val="bottom"/>
          </w:tcPr>
          <w:p w:rsidR="00E03C36" w:rsidRPr="00E03C36" w:rsidRDefault="002E29C1" w:rsidP="00E03C36">
            <w:pPr>
              <w:spacing w:after="0"/>
              <w:jc w:val="right"/>
              <w:rPr>
                <w:rFonts w:ascii="Calibri" w:hAnsi="Calibri"/>
                <w:b/>
                <w:sz w:val="22"/>
                <w:szCs w:val="22"/>
              </w:rPr>
            </w:pPr>
            <w:r w:rsidRPr="00E03C36">
              <w:rPr>
                <w:rFonts w:ascii="Calibri" w:hAnsi="Calibri"/>
                <w:b/>
                <w:sz w:val="22"/>
                <w:szCs w:val="22"/>
              </w:rPr>
              <w:t>Aug</w:t>
            </w:r>
          </w:p>
          <w:p w:rsidR="00E03C36" w:rsidRPr="00E03C36" w:rsidRDefault="002E29C1" w:rsidP="00E03C36">
            <w:pPr>
              <w:spacing w:after="0"/>
              <w:jc w:val="right"/>
              <w:rPr>
                <w:rFonts w:ascii="Calibri" w:hAnsi="Calibri"/>
                <w:b/>
                <w:sz w:val="22"/>
                <w:szCs w:val="22"/>
              </w:rPr>
            </w:pPr>
            <w:r w:rsidRPr="00E03C36">
              <w:rPr>
                <w:rFonts w:ascii="Calibri" w:hAnsi="Calibri"/>
                <w:b/>
                <w:sz w:val="22"/>
                <w:szCs w:val="22"/>
              </w:rPr>
              <w:t>-18</w:t>
            </w:r>
          </w:p>
        </w:tc>
      </w:tr>
      <w:tr w:rsidR="00040D04" w:rsidTr="00E03C36">
        <w:trPr>
          <w:trHeight w:val="300"/>
        </w:trPr>
        <w:tc>
          <w:tcPr>
            <w:tcW w:w="1491" w:type="pct"/>
            <w:tcBorders>
              <w:top w:val="nil"/>
              <w:left w:val="single" w:sz="4" w:space="0" w:color="auto"/>
              <w:bottom w:val="single" w:sz="4" w:space="0" w:color="auto"/>
              <w:right w:val="single" w:sz="4" w:space="0" w:color="auto"/>
            </w:tcBorders>
            <w:shd w:val="clear" w:color="auto" w:fill="auto"/>
            <w:noWrap/>
            <w:vAlign w:val="center"/>
            <w:hideMark/>
          </w:tcPr>
          <w:p w:rsidR="00E03C36" w:rsidRPr="00E03C36" w:rsidRDefault="002E29C1" w:rsidP="00E03C36">
            <w:pPr>
              <w:autoSpaceDE/>
              <w:autoSpaceDN/>
              <w:adjustRightInd/>
              <w:spacing w:after="0"/>
              <w:jc w:val="left"/>
              <w:rPr>
                <w:rFonts w:ascii="Calibri" w:eastAsia="Times New Roman" w:hAnsi="Calibri" w:cs="Times New Roman"/>
                <w:sz w:val="22"/>
                <w:szCs w:val="22"/>
                <w:lang w:eastAsia="en-GB"/>
              </w:rPr>
            </w:pPr>
            <w:r w:rsidRPr="00E03C36">
              <w:rPr>
                <w:rFonts w:ascii="Calibri" w:eastAsia="Times New Roman" w:hAnsi="Calibri" w:cs="Times New Roman"/>
                <w:sz w:val="22"/>
                <w:szCs w:val="22"/>
                <w:lang w:eastAsia="en-GB"/>
              </w:rPr>
              <w:t>Social Care</w:t>
            </w:r>
          </w:p>
        </w:tc>
        <w:tc>
          <w:tcPr>
            <w:tcW w:w="351" w:type="pct"/>
            <w:tcBorders>
              <w:top w:val="nil"/>
              <w:left w:val="nil"/>
              <w:bottom w:val="single" w:sz="4" w:space="0" w:color="auto"/>
              <w:right w:val="single" w:sz="4" w:space="0" w:color="auto"/>
            </w:tcBorders>
            <w:shd w:val="clear" w:color="auto" w:fill="auto"/>
            <w:noWrap/>
            <w:vAlign w:val="bottom"/>
            <w:hideMark/>
          </w:tcPr>
          <w:p w:rsidR="00E03C36" w:rsidRPr="00E03C36" w:rsidRDefault="002E29C1" w:rsidP="00E03C36">
            <w:pPr>
              <w:spacing w:after="0"/>
              <w:jc w:val="right"/>
              <w:rPr>
                <w:rFonts w:ascii="Calibri" w:hAnsi="Calibri"/>
                <w:sz w:val="22"/>
                <w:szCs w:val="22"/>
              </w:rPr>
            </w:pPr>
            <w:r w:rsidRPr="00E03C36">
              <w:rPr>
                <w:rFonts w:ascii="Calibri" w:hAnsi="Calibri"/>
                <w:sz w:val="22"/>
                <w:szCs w:val="22"/>
              </w:rPr>
              <w:t>6.8</w:t>
            </w:r>
          </w:p>
        </w:tc>
        <w:tc>
          <w:tcPr>
            <w:tcW w:w="351" w:type="pct"/>
            <w:tcBorders>
              <w:top w:val="nil"/>
              <w:left w:val="nil"/>
              <w:bottom w:val="single" w:sz="4" w:space="0" w:color="auto"/>
              <w:right w:val="single" w:sz="4" w:space="0" w:color="auto"/>
            </w:tcBorders>
            <w:shd w:val="clear" w:color="auto" w:fill="auto"/>
            <w:noWrap/>
            <w:vAlign w:val="bottom"/>
            <w:hideMark/>
          </w:tcPr>
          <w:p w:rsidR="00E03C36" w:rsidRPr="00E03C36" w:rsidRDefault="002E29C1" w:rsidP="00E03C36">
            <w:pPr>
              <w:spacing w:after="0"/>
              <w:jc w:val="right"/>
              <w:rPr>
                <w:rFonts w:ascii="Calibri" w:hAnsi="Calibri"/>
                <w:sz w:val="22"/>
                <w:szCs w:val="22"/>
              </w:rPr>
            </w:pPr>
            <w:r w:rsidRPr="00E03C36">
              <w:rPr>
                <w:rFonts w:ascii="Calibri" w:hAnsi="Calibri"/>
                <w:sz w:val="22"/>
                <w:szCs w:val="22"/>
              </w:rPr>
              <w:t>6.1</w:t>
            </w:r>
          </w:p>
        </w:tc>
        <w:tc>
          <w:tcPr>
            <w:tcW w:w="351" w:type="pct"/>
            <w:tcBorders>
              <w:top w:val="nil"/>
              <w:left w:val="nil"/>
              <w:bottom w:val="single" w:sz="4" w:space="0" w:color="auto"/>
              <w:right w:val="single" w:sz="4" w:space="0" w:color="auto"/>
            </w:tcBorders>
            <w:shd w:val="clear" w:color="auto" w:fill="auto"/>
            <w:noWrap/>
            <w:vAlign w:val="bottom"/>
            <w:hideMark/>
          </w:tcPr>
          <w:p w:rsidR="00E03C36" w:rsidRPr="00E03C36" w:rsidRDefault="002E29C1" w:rsidP="00E03C36">
            <w:pPr>
              <w:spacing w:after="0"/>
              <w:jc w:val="right"/>
              <w:rPr>
                <w:rFonts w:ascii="Calibri" w:hAnsi="Calibri"/>
                <w:sz w:val="22"/>
                <w:szCs w:val="22"/>
              </w:rPr>
            </w:pPr>
            <w:r w:rsidRPr="00E03C36">
              <w:rPr>
                <w:rFonts w:ascii="Calibri" w:hAnsi="Calibri"/>
                <w:sz w:val="22"/>
                <w:szCs w:val="22"/>
              </w:rPr>
              <w:t>5.5</w:t>
            </w:r>
          </w:p>
        </w:tc>
        <w:tc>
          <w:tcPr>
            <w:tcW w:w="351" w:type="pct"/>
            <w:tcBorders>
              <w:top w:val="nil"/>
              <w:left w:val="nil"/>
              <w:bottom w:val="single" w:sz="4" w:space="0" w:color="auto"/>
              <w:right w:val="single" w:sz="4" w:space="0" w:color="auto"/>
            </w:tcBorders>
            <w:shd w:val="clear" w:color="auto" w:fill="auto"/>
            <w:noWrap/>
            <w:vAlign w:val="bottom"/>
            <w:hideMark/>
          </w:tcPr>
          <w:p w:rsidR="00E03C36" w:rsidRPr="00E03C36" w:rsidRDefault="002E29C1" w:rsidP="00E03C36">
            <w:pPr>
              <w:spacing w:after="0"/>
              <w:jc w:val="right"/>
              <w:rPr>
                <w:rFonts w:ascii="Calibri" w:hAnsi="Calibri"/>
                <w:sz w:val="22"/>
                <w:szCs w:val="22"/>
              </w:rPr>
            </w:pPr>
            <w:r w:rsidRPr="00E03C36">
              <w:rPr>
                <w:rFonts w:ascii="Calibri" w:hAnsi="Calibri"/>
                <w:sz w:val="22"/>
                <w:szCs w:val="22"/>
              </w:rPr>
              <w:t>4.6</w:t>
            </w:r>
          </w:p>
        </w:tc>
        <w:tc>
          <w:tcPr>
            <w:tcW w:w="351" w:type="pct"/>
            <w:tcBorders>
              <w:top w:val="nil"/>
              <w:left w:val="nil"/>
              <w:bottom w:val="single" w:sz="4" w:space="0" w:color="auto"/>
              <w:right w:val="single" w:sz="4" w:space="0" w:color="auto"/>
            </w:tcBorders>
            <w:shd w:val="clear" w:color="auto" w:fill="auto"/>
            <w:noWrap/>
            <w:vAlign w:val="bottom"/>
            <w:hideMark/>
          </w:tcPr>
          <w:p w:rsidR="00E03C36" w:rsidRPr="00E03C36" w:rsidRDefault="002E29C1" w:rsidP="00E03C36">
            <w:pPr>
              <w:spacing w:after="0"/>
              <w:jc w:val="right"/>
              <w:rPr>
                <w:rFonts w:ascii="Calibri" w:hAnsi="Calibri"/>
                <w:sz w:val="22"/>
                <w:szCs w:val="22"/>
              </w:rPr>
            </w:pPr>
            <w:r w:rsidRPr="00E03C36">
              <w:rPr>
                <w:rFonts w:ascii="Calibri" w:hAnsi="Calibri"/>
                <w:sz w:val="22"/>
                <w:szCs w:val="22"/>
              </w:rPr>
              <w:t>4.2</w:t>
            </w:r>
          </w:p>
        </w:tc>
        <w:tc>
          <w:tcPr>
            <w:tcW w:w="351" w:type="pct"/>
            <w:tcBorders>
              <w:top w:val="nil"/>
              <w:left w:val="nil"/>
              <w:bottom w:val="single" w:sz="4" w:space="0" w:color="auto"/>
              <w:right w:val="single" w:sz="4" w:space="0" w:color="auto"/>
            </w:tcBorders>
            <w:shd w:val="clear" w:color="auto" w:fill="auto"/>
            <w:noWrap/>
            <w:vAlign w:val="bottom"/>
            <w:hideMark/>
          </w:tcPr>
          <w:p w:rsidR="00E03C36" w:rsidRPr="00E03C36" w:rsidRDefault="002E29C1" w:rsidP="00E03C36">
            <w:pPr>
              <w:spacing w:after="0"/>
              <w:jc w:val="right"/>
              <w:rPr>
                <w:rFonts w:ascii="Calibri" w:hAnsi="Calibri"/>
                <w:sz w:val="22"/>
                <w:szCs w:val="22"/>
              </w:rPr>
            </w:pPr>
            <w:r w:rsidRPr="00E03C36">
              <w:rPr>
                <w:rFonts w:ascii="Calibri" w:hAnsi="Calibri"/>
                <w:sz w:val="22"/>
                <w:szCs w:val="22"/>
              </w:rPr>
              <w:t>3.5</w:t>
            </w:r>
          </w:p>
        </w:tc>
        <w:tc>
          <w:tcPr>
            <w:tcW w:w="351" w:type="pct"/>
            <w:tcBorders>
              <w:top w:val="nil"/>
              <w:left w:val="nil"/>
              <w:bottom w:val="single" w:sz="4" w:space="0" w:color="auto"/>
              <w:right w:val="single" w:sz="4" w:space="0" w:color="auto"/>
            </w:tcBorders>
            <w:shd w:val="clear" w:color="auto" w:fill="auto"/>
            <w:noWrap/>
            <w:vAlign w:val="bottom"/>
            <w:hideMark/>
          </w:tcPr>
          <w:p w:rsidR="00E03C36" w:rsidRPr="00E03C36" w:rsidRDefault="002E29C1" w:rsidP="00E03C36">
            <w:pPr>
              <w:spacing w:after="0"/>
              <w:jc w:val="right"/>
              <w:rPr>
                <w:rFonts w:ascii="Calibri" w:hAnsi="Calibri"/>
                <w:sz w:val="22"/>
                <w:szCs w:val="22"/>
              </w:rPr>
            </w:pPr>
            <w:r w:rsidRPr="00E03C36">
              <w:rPr>
                <w:rFonts w:ascii="Calibri" w:hAnsi="Calibri"/>
                <w:sz w:val="22"/>
                <w:szCs w:val="22"/>
              </w:rPr>
              <w:t>3.9</w:t>
            </w:r>
          </w:p>
        </w:tc>
        <w:tc>
          <w:tcPr>
            <w:tcW w:w="351" w:type="pct"/>
            <w:tcBorders>
              <w:top w:val="nil"/>
              <w:left w:val="nil"/>
              <w:bottom w:val="single" w:sz="4" w:space="0" w:color="auto"/>
              <w:right w:val="single" w:sz="4" w:space="0" w:color="auto"/>
            </w:tcBorders>
            <w:shd w:val="clear" w:color="auto" w:fill="auto"/>
            <w:noWrap/>
            <w:vAlign w:val="bottom"/>
            <w:hideMark/>
          </w:tcPr>
          <w:p w:rsidR="00E03C36" w:rsidRPr="00E03C36" w:rsidRDefault="002E29C1" w:rsidP="00E03C36">
            <w:pPr>
              <w:spacing w:after="0"/>
              <w:jc w:val="right"/>
              <w:rPr>
                <w:rFonts w:ascii="Calibri" w:hAnsi="Calibri"/>
                <w:sz w:val="22"/>
                <w:szCs w:val="22"/>
              </w:rPr>
            </w:pPr>
            <w:r w:rsidRPr="00E03C36">
              <w:rPr>
                <w:rFonts w:ascii="Calibri" w:hAnsi="Calibri"/>
                <w:sz w:val="22"/>
                <w:szCs w:val="22"/>
              </w:rPr>
              <w:t>3.8</w:t>
            </w:r>
          </w:p>
        </w:tc>
        <w:tc>
          <w:tcPr>
            <w:tcW w:w="340" w:type="pct"/>
            <w:tcBorders>
              <w:top w:val="nil"/>
              <w:left w:val="nil"/>
              <w:bottom w:val="single" w:sz="4" w:space="0" w:color="auto"/>
              <w:right w:val="single" w:sz="4" w:space="0" w:color="auto"/>
            </w:tcBorders>
            <w:shd w:val="clear" w:color="auto" w:fill="auto"/>
            <w:noWrap/>
            <w:vAlign w:val="bottom"/>
            <w:hideMark/>
          </w:tcPr>
          <w:p w:rsidR="00E03C36" w:rsidRPr="00E03C36" w:rsidRDefault="002E29C1" w:rsidP="00E03C36">
            <w:pPr>
              <w:spacing w:after="0"/>
              <w:jc w:val="right"/>
              <w:rPr>
                <w:rFonts w:ascii="Calibri" w:hAnsi="Calibri"/>
                <w:sz w:val="22"/>
                <w:szCs w:val="22"/>
              </w:rPr>
            </w:pPr>
            <w:r w:rsidRPr="00E03C36">
              <w:rPr>
                <w:rFonts w:ascii="Calibri" w:hAnsi="Calibri"/>
                <w:sz w:val="22"/>
                <w:szCs w:val="22"/>
              </w:rPr>
              <w:t>3.6</w:t>
            </w:r>
          </w:p>
        </w:tc>
        <w:tc>
          <w:tcPr>
            <w:tcW w:w="361" w:type="pct"/>
            <w:tcBorders>
              <w:top w:val="nil"/>
              <w:left w:val="nil"/>
              <w:bottom w:val="single" w:sz="4" w:space="0" w:color="auto"/>
              <w:right w:val="single" w:sz="4" w:space="0" w:color="auto"/>
            </w:tcBorders>
            <w:vAlign w:val="bottom"/>
          </w:tcPr>
          <w:p w:rsidR="00E03C36" w:rsidRPr="00E03C36" w:rsidRDefault="002E29C1" w:rsidP="00E03C36">
            <w:pPr>
              <w:spacing w:after="0"/>
              <w:jc w:val="right"/>
              <w:rPr>
                <w:rFonts w:ascii="Calibri" w:hAnsi="Calibri"/>
                <w:sz w:val="22"/>
                <w:szCs w:val="22"/>
              </w:rPr>
            </w:pPr>
            <w:r w:rsidRPr="00E03C36">
              <w:rPr>
                <w:rFonts w:ascii="Calibri" w:hAnsi="Calibri"/>
                <w:sz w:val="22"/>
                <w:szCs w:val="22"/>
              </w:rPr>
              <w:t>4.2</w:t>
            </w:r>
          </w:p>
        </w:tc>
      </w:tr>
      <w:tr w:rsidR="00040D04" w:rsidTr="00E03C36">
        <w:trPr>
          <w:trHeight w:val="300"/>
        </w:trPr>
        <w:tc>
          <w:tcPr>
            <w:tcW w:w="1491" w:type="pct"/>
            <w:tcBorders>
              <w:top w:val="nil"/>
              <w:left w:val="single" w:sz="4" w:space="0" w:color="auto"/>
              <w:bottom w:val="single" w:sz="4" w:space="0" w:color="auto"/>
              <w:right w:val="single" w:sz="4" w:space="0" w:color="auto"/>
            </w:tcBorders>
            <w:shd w:val="clear" w:color="auto" w:fill="auto"/>
            <w:noWrap/>
            <w:vAlign w:val="center"/>
            <w:hideMark/>
          </w:tcPr>
          <w:p w:rsidR="00E03C36" w:rsidRPr="00E03C36" w:rsidRDefault="002E29C1" w:rsidP="00E03C36">
            <w:pPr>
              <w:autoSpaceDE/>
              <w:autoSpaceDN/>
              <w:adjustRightInd/>
              <w:spacing w:after="0"/>
              <w:jc w:val="left"/>
              <w:rPr>
                <w:rFonts w:ascii="Calibri" w:eastAsia="Times New Roman" w:hAnsi="Calibri" w:cs="Times New Roman"/>
                <w:sz w:val="22"/>
                <w:szCs w:val="22"/>
                <w:lang w:eastAsia="en-GB"/>
              </w:rPr>
            </w:pPr>
            <w:r w:rsidRPr="00E03C36">
              <w:rPr>
                <w:rFonts w:ascii="Calibri" w:eastAsia="Times New Roman" w:hAnsi="Calibri" w:cs="Times New Roman"/>
                <w:sz w:val="22"/>
                <w:szCs w:val="22"/>
                <w:lang w:eastAsia="en-GB"/>
              </w:rPr>
              <w:t>Total</w:t>
            </w:r>
          </w:p>
        </w:tc>
        <w:tc>
          <w:tcPr>
            <w:tcW w:w="351" w:type="pct"/>
            <w:tcBorders>
              <w:top w:val="nil"/>
              <w:left w:val="nil"/>
              <w:bottom w:val="single" w:sz="4" w:space="0" w:color="auto"/>
              <w:right w:val="single" w:sz="4" w:space="0" w:color="auto"/>
            </w:tcBorders>
            <w:shd w:val="clear" w:color="auto" w:fill="auto"/>
            <w:noWrap/>
            <w:vAlign w:val="bottom"/>
            <w:hideMark/>
          </w:tcPr>
          <w:p w:rsidR="00E03C36" w:rsidRPr="00E03C36" w:rsidRDefault="002E29C1" w:rsidP="00E03C36">
            <w:pPr>
              <w:spacing w:after="0"/>
              <w:jc w:val="right"/>
              <w:rPr>
                <w:rFonts w:ascii="Calibri" w:hAnsi="Calibri"/>
                <w:sz w:val="22"/>
                <w:szCs w:val="22"/>
              </w:rPr>
            </w:pPr>
            <w:r w:rsidRPr="00E03C36">
              <w:rPr>
                <w:rFonts w:ascii="Calibri" w:hAnsi="Calibri"/>
                <w:sz w:val="22"/>
                <w:szCs w:val="22"/>
              </w:rPr>
              <w:t>15.9</w:t>
            </w:r>
          </w:p>
        </w:tc>
        <w:tc>
          <w:tcPr>
            <w:tcW w:w="351" w:type="pct"/>
            <w:tcBorders>
              <w:top w:val="nil"/>
              <w:left w:val="nil"/>
              <w:bottom w:val="single" w:sz="4" w:space="0" w:color="auto"/>
              <w:right w:val="single" w:sz="4" w:space="0" w:color="auto"/>
            </w:tcBorders>
            <w:shd w:val="clear" w:color="auto" w:fill="auto"/>
            <w:noWrap/>
            <w:vAlign w:val="bottom"/>
            <w:hideMark/>
          </w:tcPr>
          <w:p w:rsidR="00E03C36" w:rsidRPr="00E03C36" w:rsidRDefault="002E29C1" w:rsidP="00E03C36">
            <w:pPr>
              <w:spacing w:after="0"/>
              <w:jc w:val="right"/>
              <w:rPr>
                <w:rFonts w:ascii="Calibri" w:hAnsi="Calibri"/>
                <w:sz w:val="22"/>
                <w:szCs w:val="22"/>
              </w:rPr>
            </w:pPr>
            <w:r w:rsidRPr="00E03C36">
              <w:rPr>
                <w:rFonts w:ascii="Calibri" w:hAnsi="Calibri"/>
                <w:sz w:val="22"/>
                <w:szCs w:val="22"/>
              </w:rPr>
              <w:t>13.2</w:t>
            </w:r>
          </w:p>
        </w:tc>
        <w:tc>
          <w:tcPr>
            <w:tcW w:w="351" w:type="pct"/>
            <w:tcBorders>
              <w:top w:val="nil"/>
              <w:left w:val="nil"/>
              <w:bottom w:val="single" w:sz="4" w:space="0" w:color="auto"/>
              <w:right w:val="single" w:sz="4" w:space="0" w:color="auto"/>
            </w:tcBorders>
            <w:shd w:val="clear" w:color="auto" w:fill="auto"/>
            <w:noWrap/>
            <w:vAlign w:val="bottom"/>
            <w:hideMark/>
          </w:tcPr>
          <w:p w:rsidR="00E03C36" w:rsidRPr="00E03C36" w:rsidRDefault="002E29C1" w:rsidP="00E03C36">
            <w:pPr>
              <w:spacing w:after="0"/>
              <w:jc w:val="right"/>
              <w:rPr>
                <w:rFonts w:ascii="Calibri" w:hAnsi="Calibri"/>
                <w:sz w:val="22"/>
                <w:szCs w:val="22"/>
              </w:rPr>
            </w:pPr>
            <w:r w:rsidRPr="00E03C36">
              <w:rPr>
                <w:rFonts w:ascii="Calibri" w:hAnsi="Calibri"/>
                <w:sz w:val="22"/>
                <w:szCs w:val="22"/>
              </w:rPr>
              <w:t>11.8</w:t>
            </w:r>
          </w:p>
        </w:tc>
        <w:tc>
          <w:tcPr>
            <w:tcW w:w="351" w:type="pct"/>
            <w:tcBorders>
              <w:top w:val="nil"/>
              <w:left w:val="nil"/>
              <w:bottom w:val="single" w:sz="4" w:space="0" w:color="auto"/>
              <w:right w:val="single" w:sz="4" w:space="0" w:color="auto"/>
            </w:tcBorders>
            <w:shd w:val="clear" w:color="auto" w:fill="auto"/>
            <w:noWrap/>
            <w:vAlign w:val="bottom"/>
            <w:hideMark/>
          </w:tcPr>
          <w:p w:rsidR="00E03C36" w:rsidRPr="00E03C36" w:rsidRDefault="002E29C1" w:rsidP="00E03C36">
            <w:pPr>
              <w:spacing w:after="0"/>
              <w:jc w:val="right"/>
              <w:rPr>
                <w:rFonts w:ascii="Calibri" w:hAnsi="Calibri"/>
                <w:sz w:val="22"/>
                <w:szCs w:val="22"/>
              </w:rPr>
            </w:pPr>
            <w:r w:rsidRPr="00E03C36">
              <w:rPr>
                <w:rFonts w:ascii="Calibri" w:hAnsi="Calibri"/>
                <w:sz w:val="22"/>
                <w:szCs w:val="22"/>
              </w:rPr>
              <w:t>12.7</w:t>
            </w:r>
          </w:p>
        </w:tc>
        <w:tc>
          <w:tcPr>
            <w:tcW w:w="351" w:type="pct"/>
            <w:tcBorders>
              <w:top w:val="nil"/>
              <w:left w:val="nil"/>
              <w:bottom w:val="single" w:sz="4" w:space="0" w:color="auto"/>
              <w:right w:val="single" w:sz="4" w:space="0" w:color="auto"/>
            </w:tcBorders>
            <w:shd w:val="clear" w:color="auto" w:fill="auto"/>
            <w:noWrap/>
            <w:vAlign w:val="bottom"/>
            <w:hideMark/>
          </w:tcPr>
          <w:p w:rsidR="00E03C36" w:rsidRPr="00E03C36" w:rsidRDefault="002E29C1" w:rsidP="00E03C36">
            <w:pPr>
              <w:spacing w:after="0"/>
              <w:jc w:val="right"/>
              <w:rPr>
                <w:rFonts w:ascii="Calibri" w:hAnsi="Calibri"/>
                <w:sz w:val="22"/>
                <w:szCs w:val="22"/>
              </w:rPr>
            </w:pPr>
            <w:r w:rsidRPr="00E03C36">
              <w:rPr>
                <w:rFonts w:ascii="Calibri" w:hAnsi="Calibri"/>
                <w:sz w:val="22"/>
                <w:szCs w:val="22"/>
              </w:rPr>
              <w:t>12.6</w:t>
            </w:r>
          </w:p>
        </w:tc>
        <w:tc>
          <w:tcPr>
            <w:tcW w:w="351" w:type="pct"/>
            <w:tcBorders>
              <w:top w:val="nil"/>
              <w:left w:val="nil"/>
              <w:bottom w:val="single" w:sz="4" w:space="0" w:color="auto"/>
              <w:right w:val="single" w:sz="4" w:space="0" w:color="auto"/>
            </w:tcBorders>
            <w:shd w:val="clear" w:color="auto" w:fill="auto"/>
            <w:noWrap/>
            <w:vAlign w:val="bottom"/>
            <w:hideMark/>
          </w:tcPr>
          <w:p w:rsidR="00E03C36" w:rsidRPr="00E03C36" w:rsidRDefault="002E29C1" w:rsidP="00E03C36">
            <w:pPr>
              <w:spacing w:after="0"/>
              <w:jc w:val="right"/>
              <w:rPr>
                <w:rFonts w:ascii="Calibri" w:hAnsi="Calibri"/>
                <w:sz w:val="22"/>
                <w:szCs w:val="22"/>
              </w:rPr>
            </w:pPr>
            <w:r w:rsidRPr="00E03C36">
              <w:rPr>
                <w:rFonts w:ascii="Calibri" w:hAnsi="Calibri"/>
                <w:sz w:val="22"/>
                <w:szCs w:val="22"/>
              </w:rPr>
              <w:t>12.0</w:t>
            </w:r>
          </w:p>
        </w:tc>
        <w:tc>
          <w:tcPr>
            <w:tcW w:w="351" w:type="pct"/>
            <w:tcBorders>
              <w:top w:val="nil"/>
              <w:left w:val="nil"/>
              <w:bottom w:val="single" w:sz="4" w:space="0" w:color="auto"/>
              <w:right w:val="single" w:sz="4" w:space="0" w:color="auto"/>
            </w:tcBorders>
            <w:shd w:val="clear" w:color="auto" w:fill="auto"/>
            <w:noWrap/>
            <w:vAlign w:val="bottom"/>
            <w:hideMark/>
          </w:tcPr>
          <w:p w:rsidR="00E03C36" w:rsidRPr="00E03C36" w:rsidRDefault="002E29C1" w:rsidP="00E03C36">
            <w:pPr>
              <w:spacing w:after="0"/>
              <w:jc w:val="right"/>
              <w:rPr>
                <w:rFonts w:ascii="Calibri" w:hAnsi="Calibri"/>
                <w:sz w:val="22"/>
                <w:szCs w:val="22"/>
              </w:rPr>
            </w:pPr>
            <w:r w:rsidRPr="00E03C36">
              <w:rPr>
                <w:rFonts w:ascii="Calibri" w:hAnsi="Calibri"/>
                <w:sz w:val="22"/>
                <w:szCs w:val="22"/>
              </w:rPr>
              <w:t>10.7</w:t>
            </w:r>
          </w:p>
        </w:tc>
        <w:tc>
          <w:tcPr>
            <w:tcW w:w="351" w:type="pct"/>
            <w:tcBorders>
              <w:top w:val="nil"/>
              <w:left w:val="nil"/>
              <w:bottom w:val="single" w:sz="4" w:space="0" w:color="auto"/>
              <w:right w:val="single" w:sz="4" w:space="0" w:color="auto"/>
            </w:tcBorders>
            <w:shd w:val="clear" w:color="auto" w:fill="auto"/>
            <w:noWrap/>
            <w:vAlign w:val="bottom"/>
            <w:hideMark/>
          </w:tcPr>
          <w:p w:rsidR="00E03C36" w:rsidRPr="00E03C36" w:rsidRDefault="002E29C1" w:rsidP="00E03C36">
            <w:pPr>
              <w:spacing w:after="0"/>
              <w:jc w:val="right"/>
              <w:rPr>
                <w:rFonts w:ascii="Calibri" w:hAnsi="Calibri"/>
                <w:sz w:val="22"/>
                <w:szCs w:val="22"/>
              </w:rPr>
            </w:pPr>
            <w:r w:rsidRPr="00E03C36">
              <w:rPr>
                <w:rFonts w:ascii="Calibri" w:hAnsi="Calibri"/>
                <w:sz w:val="22"/>
                <w:szCs w:val="22"/>
              </w:rPr>
              <w:t>9.6</w:t>
            </w:r>
          </w:p>
        </w:tc>
        <w:tc>
          <w:tcPr>
            <w:tcW w:w="340" w:type="pct"/>
            <w:tcBorders>
              <w:top w:val="nil"/>
              <w:left w:val="nil"/>
              <w:bottom w:val="single" w:sz="4" w:space="0" w:color="auto"/>
              <w:right w:val="single" w:sz="4" w:space="0" w:color="auto"/>
            </w:tcBorders>
            <w:shd w:val="clear" w:color="auto" w:fill="auto"/>
            <w:noWrap/>
            <w:vAlign w:val="bottom"/>
            <w:hideMark/>
          </w:tcPr>
          <w:p w:rsidR="00E03C36" w:rsidRPr="00E03C36" w:rsidRDefault="002E29C1" w:rsidP="00E03C36">
            <w:pPr>
              <w:spacing w:after="0"/>
              <w:jc w:val="right"/>
              <w:rPr>
                <w:rFonts w:ascii="Calibri" w:hAnsi="Calibri"/>
                <w:sz w:val="22"/>
                <w:szCs w:val="22"/>
              </w:rPr>
            </w:pPr>
            <w:r w:rsidRPr="00E03C36">
              <w:rPr>
                <w:rFonts w:ascii="Calibri" w:hAnsi="Calibri"/>
                <w:sz w:val="22"/>
                <w:szCs w:val="22"/>
              </w:rPr>
              <w:t>9.8</w:t>
            </w:r>
          </w:p>
        </w:tc>
        <w:tc>
          <w:tcPr>
            <w:tcW w:w="361" w:type="pct"/>
            <w:tcBorders>
              <w:top w:val="nil"/>
              <w:left w:val="nil"/>
              <w:bottom w:val="single" w:sz="4" w:space="0" w:color="auto"/>
              <w:right w:val="single" w:sz="4" w:space="0" w:color="auto"/>
            </w:tcBorders>
            <w:vAlign w:val="bottom"/>
          </w:tcPr>
          <w:p w:rsidR="00E03C36" w:rsidRPr="00E03C36" w:rsidRDefault="002E29C1" w:rsidP="00E03C36">
            <w:pPr>
              <w:spacing w:after="0"/>
              <w:jc w:val="right"/>
              <w:rPr>
                <w:rFonts w:ascii="Calibri" w:hAnsi="Calibri"/>
                <w:sz w:val="22"/>
                <w:szCs w:val="22"/>
              </w:rPr>
            </w:pPr>
            <w:r w:rsidRPr="00E03C36">
              <w:rPr>
                <w:rFonts w:ascii="Calibri" w:hAnsi="Calibri"/>
                <w:sz w:val="22"/>
                <w:szCs w:val="22"/>
              </w:rPr>
              <w:t>10.1</w:t>
            </w:r>
          </w:p>
        </w:tc>
      </w:tr>
    </w:tbl>
    <w:p w:rsidR="00466AF7" w:rsidRPr="007B0653" w:rsidRDefault="002E29C1" w:rsidP="00466AF7">
      <w:pPr>
        <w:spacing w:before="120" w:line="259" w:lineRule="auto"/>
        <w:rPr>
          <w:rFonts w:cs="Arial"/>
        </w:rPr>
      </w:pPr>
      <w:r w:rsidRPr="00E03C36">
        <w:rPr>
          <w:rFonts w:cs="Arial"/>
        </w:rPr>
        <w:lastRenderedPageBreak/>
        <w:t xml:space="preserve">The Sep-18 </w:t>
      </w:r>
      <w:r w:rsidRPr="007B0653">
        <w:rPr>
          <w:rFonts w:cs="Arial"/>
        </w:rPr>
        <w:t>expectation of 101.8 total DToC bed days appears to be a very feasible target and has been achieved already as a result of considerable recent improvement:</w:t>
      </w:r>
    </w:p>
    <w:p w:rsidR="00C632FD" w:rsidRPr="007B0653" w:rsidRDefault="002E29C1" w:rsidP="00466AF7">
      <w:pPr>
        <w:spacing w:before="120" w:line="259" w:lineRule="auto"/>
        <w:rPr>
          <w:rFonts w:cs="Arial"/>
        </w:rPr>
      </w:pPr>
      <w:r w:rsidRPr="007B0653">
        <w:rPr>
          <w:noProof/>
          <w:lang w:eastAsia="en-GB"/>
        </w:rPr>
        <w:drawing>
          <wp:inline distT="0" distB="0" distL="0" distR="0">
            <wp:extent cx="5727700" cy="3282315"/>
            <wp:effectExtent l="0" t="0" r="6350" b="1333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63644" w:rsidRPr="007B0653" w:rsidRDefault="002E29C1" w:rsidP="009837A1">
      <w:pPr>
        <w:spacing w:before="120" w:line="259" w:lineRule="auto"/>
        <w:rPr>
          <w:rFonts w:cs="Arial"/>
        </w:rPr>
      </w:pPr>
      <w:r w:rsidRPr="007B0653">
        <w:rPr>
          <w:rFonts w:cs="Arial"/>
        </w:rPr>
        <w:t xml:space="preserve">The Sep-18 expectation of 36.6 social care DToC bed days also </w:t>
      </w:r>
      <w:r>
        <w:rPr>
          <w:rFonts w:cs="Arial"/>
        </w:rPr>
        <w:t>appears a feasible target, despite the slight increase recorded in Aug-18</w:t>
      </w:r>
      <w:r w:rsidRPr="007B0653">
        <w:rPr>
          <w:rFonts w:cs="Arial"/>
        </w:rPr>
        <w:t>:</w:t>
      </w:r>
    </w:p>
    <w:p w:rsidR="00C632FD" w:rsidRPr="007B0653" w:rsidRDefault="002E29C1" w:rsidP="009837A1">
      <w:pPr>
        <w:spacing w:before="120" w:line="259" w:lineRule="auto"/>
        <w:rPr>
          <w:rFonts w:cs="Arial"/>
        </w:rPr>
      </w:pPr>
      <w:r w:rsidRPr="007B0653">
        <w:rPr>
          <w:noProof/>
          <w:lang w:eastAsia="en-GB"/>
        </w:rPr>
        <w:drawing>
          <wp:inline distT="0" distB="0" distL="0" distR="0">
            <wp:extent cx="5727700" cy="3282315"/>
            <wp:effectExtent l="0" t="0" r="6350" b="1333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971C1" w:rsidRPr="00BE3267" w:rsidRDefault="002E29C1" w:rsidP="0053124D">
      <w:pPr>
        <w:spacing w:before="180" w:after="60" w:line="259" w:lineRule="auto"/>
        <w:rPr>
          <w:rFonts w:cs="Arial"/>
        </w:rPr>
      </w:pPr>
      <w:r w:rsidRPr="007B0653">
        <w:rPr>
          <w:rFonts w:cs="Arial"/>
        </w:rPr>
        <w:t xml:space="preserve">The </w:t>
      </w:r>
      <w:r w:rsidRPr="00BE3267">
        <w:rPr>
          <w:rFonts w:cs="Arial"/>
        </w:rPr>
        <w:t xml:space="preserve">tables on the following page illustrate the national rank scores for NW authorities from Jan-18 to Aug-18. The first table lists rank scores for the </w:t>
      </w:r>
      <w:r w:rsidRPr="00BE3267">
        <w:rPr>
          <w:rFonts w:cs="Arial"/>
          <w:b/>
        </w:rPr>
        <w:t>total</w:t>
      </w:r>
      <w:r w:rsidRPr="00BE3267">
        <w:rPr>
          <w:rFonts w:cs="Arial"/>
        </w:rPr>
        <w:t xml:space="preserve"> DToC bed days per population and shows an improvement for Lancashire with an Aug-18 ranking of 87 compared with 93 in Jul-18. The second table lists rank scores for </w:t>
      </w:r>
      <w:r w:rsidRPr="00BE3267">
        <w:rPr>
          <w:rFonts w:cs="Arial"/>
          <w:b/>
        </w:rPr>
        <w:t>social care</w:t>
      </w:r>
      <w:r w:rsidRPr="00BE3267">
        <w:rPr>
          <w:rFonts w:cs="Arial"/>
        </w:rPr>
        <w:t xml:space="preserve"> DToC bed days per population and shows a slight deterioration for Lancashire with an Aug-18 ranking of 114 compared with 107 in Jul-18</w:t>
      </w:r>
      <w:r w:rsidRPr="00BE3267">
        <w:rPr>
          <w:rFonts w:cs="Arial"/>
          <w:b/>
        </w:rPr>
        <w:br w:type="page"/>
      </w:r>
    </w:p>
    <w:p w:rsidR="00FE75DA" w:rsidRPr="00BE3267" w:rsidRDefault="002E29C1" w:rsidP="009837A1">
      <w:pPr>
        <w:spacing w:after="60" w:line="259" w:lineRule="auto"/>
        <w:rPr>
          <w:rFonts w:cs="Arial"/>
          <w:b/>
        </w:rPr>
      </w:pPr>
      <w:r w:rsidRPr="00BE3267">
        <w:rPr>
          <w:rFonts w:cs="Arial"/>
          <w:b/>
        </w:rPr>
        <w:lastRenderedPageBreak/>
        <w:t>Rank of NW authorities – DToC Bed Days per 100,000 population aged 18+</w:t>
      </w:r>
    </w:p>
    <w:p w:rsidR="00500F9E" w:rsidRPr="00BE3267" w:rsidRDefault="00AC7EBD" w:rsidP="009837A1">
      <w:pPr>
        <w:spacing w:after="60" w:line="259" w:lineRule="auto"/>
        <w:rPr>
          <w:rFonts w:cs="Arial"/>
          <w:b/>
          <w:sz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769"/>
        <w:gridCol w:w="814"/>
        <w:gridCol w:w="868"/>
        <w:gridCol w:w="803"/>
        <w:gridCol w:w="899"/>
        <w:gridCol w:w="781"/>
        <w:gridCol w:w="701"/>
        <w:gridCol w:w="840"/>
      </w:tblGrid>
      <w:tr w:rsidR="00040D04" w:rsidTr="007875CB">
        <w:trPr>
          <w:trHeight w:val="20"/>
        </w:trPr>
        <w:tc>
          <w:tcPr>
            <w:tcW w:w="1381" w:type="pct"/>
            <w:shd w:val="clear" w:color="auto" w:fill="auto"/>
            <w:noWrap/>
            <w:vAlign w:val="bottom"/>
            <w:hideMark/>
          </w:tcPr>
          <w:p w:rsidR="007875CB" w:rsidRPr="007875CB" w:rsidRDefault="00AC7EBD" w:rsidP="007875CB">
            <w:pPr>
              <w:autoSpaceDE/>
              <w:autoSpaceDN/>
              <w:adjustRightInd/>
              <w:spacing w:after="0"/>
              <w:jc w:val="left"/>
              <w:rPr>
                <w:rFonts w:ascii="Times New Roman" w:eastAsia="Times New Roman" w:hAnsi="Times New Roman" w:cs="Times New Roman"/>
                <w:color w:val="auto"/>
                <w:sz w:val="20"/>
                <w:szCs w:val="20"/>
                <w:lang w:eastAsia="en-GB"/>
              </w:rPr>
            </w:pPr>
          </w:p>
        </w:tc>
        <w:tc>
          <w:tcPr>
            <w:tcW w:w="3619" w:type="pct"/>
            <w:gridSpan w:val="8"/>
            <w:shd w:val="clear" w:color="000000" w:fill="FFFF00"/>
            <w:noWrap/>
            <w:vAlign w:val="bottom"/>
            <w:hideMark/>
          </w:tcPr>
          <w:p w:rsidR="007875CB" w:rsidRPr="007875CB" w:rsidRDefault="002E29C1" w:rsidP="007875CB">
            <w:pPr>
              <w:autoSpaceDE/>
              <w:autoSpaceDN/>
              <w:adjustRightInd/>
              <w:spacing w:after="0"/>
              <w:jc w:val="center"/>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Rank Total per day per 100,000 18+ population</w:t>
            </w:r>
          </w:p>
        </w:tc>
      </w:tr>
      <w:tr w:rsidR="00040D04" w:rsidTr="007875CB">
        <w:trPr>
          <w:trHeight w:val="20"/>
        </w:trPr>
        <w:tc>
          <w:tcPr>
            <w:tcW w:w="1381" w:type="pct"/>
            <w:shd w:val="clear" w:color="5B9BD5" w:fill="5B9BD5"/>
            <w:noWrap/>
            <w:vAlign w:val="bottom"/>
            <w:hideMark/>
          </w:tcPr>
          <w:p w:rsidR="007875CB" w:rsidRPr="007875CB" w:rsidRDefault="002E29C1" w:rsidP="007875CB">
            <w:pPr>
              <w:autoSpaceDE/>
              <w:autoSpaceDN/>
              <w:adjustRightInd/>
              <w:spacing w:after="0"/>
              <w:jc w:val="left"/>
              <w:rPr>
                <w:rFonts w:ascii="Calibri" w:eastAsia="Times New Roman" w:hAnsi="Calibri" w:cs="Times New Roman"/>
                <w:b/>
                <w:bCs/>
                <w:color w:val="FFFFFF"/>
                <w:sz w:val="20"/>
                <w:szCs w:val="22"/>
                <w:lang w:eastAsia="en-GB"/>
              </w:rPr>
            </w:pPr>
            <w:r w:rsidRPr="007875CB">
              <w:rPr>
                <w:rFonts w:ascii="Calibri" w:eastAsia="Times New Roman" w:hAnsi="Calibri" w:cs="Times New Roman"/>
                <w:b/>
                <w:bCs/>
                <w:color w:val="FFFFFF"/>
                <w:sz w:val="20"/>
                <w:szCs w:val="22"/>
                <w:lang w:eastAsia="en-GB"/>
              </w:rPr>
              <w:t>Local Authority Name</w:t>
            </w:r>
          </w:p>
        </w:tc>
        <w:tc>
          <w:tcPr>
            <w:tcW w:w="430" w:type="pct"/>
            <w:shd w:val="clear" w:color="auto" w:fill="auto"/>
            <w:noWrap/>
            <w:vAlign w:val="bottom"/>
            <w:hideMark/>
          </w:tcPr>
          <w:p w:rsidR="007875CB" w:rsidRPr="007875CB" w:rsidRDefault="002E29C1" w:rsidP="007875CB">
            <w:pPr>
              <w:autoSpaceDE/>
              <w:autoSpaceDN/>
              <w:adjustRightInd/>
              <w:spacing w:after="0"/>
              <w:jc w:val="center"/>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Jan-18</w:t>
            </w:r>
          </w:p>
        </w:tc>
        <w:tc>
          <w:tcPr>
            <w:tcW w:w="455" w:type="pct"/>
            <w:shd w:val="clear" w:color="auto" w:fill="auto"/>
            <w:noWrap/>
            <w:vAlign w:val="bottom"/>
            <w:hideMark/>
          </w:tcPr>
          <w:p w:rsidR="007875CB" w:rsidRPr="007875CB" w:rsidRDefault="002E29C1" w:rsidP="007875CB">
            <w:pPr>
              <w:autoSpaceDE/>
              <w:autoSpaceDN/>
              <w:adjustRightInd/>
              <w:spacing w:after="0"/>
              <w:jc w:val="center"/>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Feb-18</w:t>
            </w:r>
          </w:p>
        </w:tc>
        <w:tc>
          <w:tcPr>
            <w:tcW w:w="485" w:type="pct"/>
            <w:shd w:val="clear" w:color="auto" w:fill="auto"/>
            <w:noWrap/>
            <w:vAlign w:val="bottom"/>
            <w:hideMark/>
          </w:tcPr>
          <w:p w:rsidR="007875CB" w:rsidRPr="007875CB" w:rsidRDefault="002E29C1" w:rsidP="007875CB">
            <w:pPr>
              <w:autoSpaceDE/>
              <w:autoSpaceDN/>
              <w:adjustRightInd/>
              <w:spacing w:after="0"/>
              <w:jc w:val="center"/>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Mar-18</w:t>
            </w:r>
          </w:p>
        </w:tc>
        <w:tc>
          <w:tcPr>
            <w:tcW w:w="449" w:type="pct"/>
            <w:shd w:val="clear" w:color="auto" w:fill="auto"/>
            <w:noWrap/>
            <w:vAlign w:val="bottom"/>
            <w:hideMark/>
          </w:tcPr>
          <w:p w:rsidR="007875CB" w:rsidRPr="007875CB" w:rsidRDefault="002E29C1" w:rsidP="007875CB">
            <w:pPr>
              <w:autoSpaceDE/>
              <w:autoSpaceDN/>
              <w:adjustRightInd/>
              <w:spacing w:after="0"/>
              <w:jc w:val="center"/>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Apr-18</w:t>
            </w:r>
          </w:p>
        </w:tc>
        <w:tc>
          <w:tcPr>
            <w:tcW w:w="502" w:type="pct"/>
            <w:shd w:val="clear" w:color="auto" w:fill="auto"/>
            <w:noWrap/>
            <w:vAlign w:val="bottom"/>
            <w:hideMark/>
          </w:tcPr>
          <w:p w:rsidR="007875CB" w:rsidRPr="007875CB" w:rsidRDefault="002E29C1" w:rsidP="007875CB">
            <w:pPr>
              <w:autoSpaceDE/>
              <w:autoSpaceDN/>
              <w:adjustRightInd/>
              <w:spacing w:after="0"/>
              <w:jc w:val="center"/>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May-18</w:t>
            </w:r>
          </w:p>
        </w:tc>
        <w:tc>
          <w:tcPr>
            <w:tcW w:w="437" w:type="pct"/>
            <w:shd w:val="clear" w:color="auto" w:fill="auto"/>
            <w:noWrap/>
            <w:vAlign w:val="bottom"/>
            <w:hideMark/>
          </w:tcPr>
          <w:p w:rsidR="007875CB" w:rsidRPr="007875CB" w:rsidRDefault="002E29C1" w:rsidP="007875CB">
            <w:pPr>
              <w:autoSpaceDE/>
              <w:autoSpaceDN/>
              <w:adjustRightInd/>
              <w:spacing w:after="0"/>
              <w:jc w:val="center"/>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Jun-18</w:t>
            </w:r>
          </w:p>
        </w:tc>
        <w:tc>
          <w:tcPr>
            <w:tcW w:w="392" w:type="pct"/>
            <w:shd w:val="clear" w:color="auto" w:fill="auto"/>
            <w:noWrap/>
            <w:vAlign w:val="bottom"/>
            <w:hideMark/>
          </w:tcPr>
          <w:p w:rsidR="007875CB" w:rsidRPr="007875CB" w:rsidRDefault="002E29C1" w:rsidP="007875CB">
            <w:pPr>
              <w:autoSpaceDE/>
              <w:autoSpaceDN/>
              <w:adjustRightInd/>
              <w:spacing w:after="0"/>
              <w:jc w:val="center"/>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Jul-18</w:t>
            </w:r>
          </w:p>
        </w:tc>
        <w:tc>
          <w:tcPr>
            <w:tcW w:w="469" w:type="pct"/>
            <w:shd w:val="clear" w:color="auto" w:fill="auto"/>
            <w:noWrap/>
            <w:vAlign w:val="bottom"/>
            <w:hideMark/>
          </w:tcPr>
          <w:p w:rsidR="007875CB" w:rsidRPr="007875CB" w:rsidRDefault="002E29C1" w:rsidP="007875CB">
            <w:pPr>
              <w:autoSpaceDE/>
              <w:autoSpaceDN/>
              <w:adjustRightInd/>
              <w:spacing w:after="0"/>
              <w:jc w:val="center"/>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Aug-18</w:t>
            </w:r>
          </w:p>
        </w:tc>
      </w:tr>
      <w:tr w:rsidR="00040D04" w:rsidTr="007875CB">
        <w:trPr>
          <w:trHeight w:val="20"/>
        </w:trPr>
        <w:tc>
          <w:tcPr>
            <w:tcW w:w="1381" w:type="pct"/>
            <w:shd w:val="clear" w:color="DDEBF7" w:fill="DDEBF7"/>
            <w:noWrap/>
            <w:vAlign w:val="bottom"/>
            <w:hideMark/>
          </w:tcPr>
          <w:p w:rsidR="007875CB" w:rsidRPr="007875CB" w:rsidRDefault="002E29C1" w:rsidP="007875CB">
            <w:pPr>
              <w:autoSpaceDE/>
              <w:autoSpaceDN/>
              <w:adjustRightInd/>
              <w:spacing w:after="0"/>
              <w:jc w:val="left"/>
              <w:rPr>
                <w:rFonts w:ascii="Calibri" w:eastAsia="Times New Roman" w:hAnsi="Calibri" w:cs="Times New Roman"/>
                <w:bCs/>
                <w:sz w:val="18"/>
                <w:szCs w:val="22"/>
                <w:lang w:eastAsia="en-GB"/>
              </w:rPr>
            </w:pPr>
            <w:r w:rsidRPr="007875CB">
              <w:rPr>
                <w:rFonts w:ascii="Calibri" w:eastAsia="Times New Roman" w:hAnsi="Calibri" w:cs="Times New Roman"/>
                <w:bCs/>
                <w:sz w:val="18"/>
                <w:szCs w:val="22"/>
                <w:lang w:eastAsia="en-GB"/>
              </w:rPr>
              <w:t>BLACKBURN WITH DARWEN UA</w:t>
            </w:r>
          </w:p>
        </w:tc>
        <w:tc>
          <w:tcPr>
            <w:tcW w:w="430" w:type="pct"/>
            <w:shd w:val="clear" w:color="000000" w:fill="FFDE82"/>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84</w:t>
            </w:r>
          </w:p>
        </w:tc>
        <w:tc>
          <w:tcPr>
            <w:tcW w:w="455" w:type="pct"/>
            <w:shd w:val="clear" w:color="000000" w:fill="FFE583"/>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80</w:t>
            </w:r>
          </w:p>
        </w:tc>
        <w:tc>
          <w:tcPr>
            <w:tcW w:w="485" w:type="pct"/>
            <w:shd w:val="clear" w:color="000000" w:fill="FFE683"/>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79</w:t>
            </w:r>
          </w:p>
        </w:tc>
        <w:tc>
          <w:tcPr>
            <w:tcW w:w="449" w:type="pct"/>
            <w:shd w:val="clear" w:color="000000" w:fill="E8E482"/>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65</w:t>
            </w:r>
          </w:p>
        </w:tc>
        <w:tc>
          <w:tcPr>
            <w:tcW w:w="502" w:type="pct"/>
            <w:shd w:val="clear" w:color="000000" w:fill="D9E081"/>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58</w:t>
            </w:r>
          </w:p>
        </w:tc>
        <w:tc>
          <w:tcPr>
            <w:tcW w:w="437" w:type="pct"/>
            <w:shd w:val="clear" w:color="000000" w:fill="F8E983"/>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73</w:t>
            </w:r>
          </w:p>
        </w:tc>
        <w:tc>
          <w:tcPr>
            <w:tcW w:w="392" w:type="pct"/>
            <w:shd w:val="clear" w:color="000000" w:fill="FCA677"/>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116</w:t>
            </w:r>
          </w:p>
        </w:tc>
        <w:tc>
          <w:tcPr>
            <w:tcW w:w="469" w:type="pct"/>
            <w:shd w:val="clear" w:color="000000" w:fill="FCA376"/>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118</w:t>
            </w:r>
          </w:p>
        </w:tc>
      </w:tr>
      <w:tr w:rsidR="00040D04" w:rsidTr="007875CB">
        <w:trPr>
          <w:trHeight w:val="20"/>
        </w:trPr>
        <w:tc>
          <w:tcPr>
            <w:tcW w:w="1381" w:type="pct"/>
            <w:shd w:val="clear" w:color="DDEBF7" w:fill="DDEBF7"/>
            <w:noWrap/>
            <w:vAlign w:val="bottom"/>
            <w:hideMark/>
          </w:tcPr>
          <w:p w:rsidR="007875CB" w:rsidRPr="007875CB" w:rsidRDefault="002E29C1" w:rsidP="007875CB">
            <w:pPr>
              <w:autoSpaceDE/>
              <w:autoSpaceDN/>
              <w:adjustRightInd/>
              <w:spacing w:after="0"/>
              <w:jc w:val="left"/>
              <w:rPr>
                <w:rFonts w:ascii="Calibri" w:eastAsia="Times New Roman" w:hAnsi="Calibri" w:cs="Times New Roman"/>
                <w:bCs/>
                <w:sz w:val="18"/>
                <w:szCs w:val="22"/>
                <w:lang w:eastAsia="en-GB"/>
              </w:rPr>
            </w:pPr>
            <w:r w:rsidRPr="007875CB">
              <w:rPr>
                <w:rFonts w:ascii="Calibri" w:eastAsia="Times New Roman" w:hAnsi="Calibri" w:cs="Times New Roman"/>
                <w:bCs/>
                <w:sz w:val="18"/>
                <w:szCs w:val="22"/>
                <w:lang w:eastAsia="en-GB"/>
              </w:rPr>
              <w:t>BLACKPOOL UA</w:t>
            </w:r>
          </w:p>
        </w:tc>
        <w:tc>
          <w:tcPr>
            <w:tcW w:w="430" w:type="pct"/>
            <w:shd w:val="clear" w:color="000000" w:fill="FDC57D"/>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98</w:t>
            </w:r>
          </w:p>
        </w:tc>
        <w:tc>
          <w:tcPr>
            <w:tcW w:w="455" w:type="pct"/>
            <w:shd w:val="clear" w:color="000000" w:fill="FDBD7C"/>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103</w:t>
            </w:r>
          </w:p>
        </w:tc>
        <w:tc>
          <w:tcPr>
            <w:tcW w:w="485" w:type="pct"/>
            <w:shd w:val="clear" w:color="000000" w:fill="FCB27A"/>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109</w:t>
            </w:r>
          </w:p>
        </w:tc>
        <w:tc>
          <w:tcPr>
            <w:tcW w:w="449" w:type="pct"/>
            <w:shd w:val="clear" w:color="000000" w:fill="FCA677"/>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116</w:t>
            </w:r>
          </w:p>
        </w:tc>
        <w:tc>
          <w:tcPr>
            <w:tcW w:w="502" w:type="pct"/>
            <w:shd w:val="clear" w:color="000000" w:fill="FDB67A"/>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107</w:t>
            </w:r>
          </w:p>
        </w:tc>
        <w:tc>
          <w:tcPr>
            <w:tcW w:w="437" w:type="pct"/>
            <w:shd w:val="clear" w:color="000000" w:fill="FFDC81"/>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85</w:t>
            </w:r>
          </w:p>
        </w:tc>
        <w:tc>
          <w:tcPr>
            <w:tcW w:w="392" w:type="pct"/>
            <w:shd w:val="clear" w:color="000000" w:fill="FCAF79"/>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111</w:t>
            </w:r>
          </w:p>
        </w:tc>
        <w:tc>
          <w:tcPr>
            <w:tcW w:w="469" w:type="pct"/>
            <w:shd w:val="clear" w:color="000000" w:fill="FDB47A"/>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108</w:t>
            </w:r>
          </w:p>
        </w:tc>
      </w:tr>
      <w:tr w:rsidR="00040D04" w:rsidTr="007875CB">
        <w:trPr>
          <w:trHeight w:val="20"/>
        </w:trPr>
        <w:tc>
          <w:tcPr>
            <w:tcW w:w="1381" w:type="pct"/>
            <w:shd w:val="clear" w:color="DDEBF7" w:fill="DDEBF7"/>
            <w:noWrap/>
            <w:vAlign w:val="bottom"/>
            <w:hideMark/>
          </w:tcPr>
          <w:p w:rsidR="007875CB" w:rsidRPr="007875CB" w:rsidRDefault="002E29C1" w:rsidP="007875CB">
            <w:pPr>
              <w:autoSpaceDE/>
              <w:autoSpaceDN/>
              <w:adjustRightInd/>
              <w:spacing w:after="0"/>
              <w:jc w:val="left"/>
              <w:rPr>
                <w:rFonts w:ascii="Calibri" w:eastAsia="Times New Roman" w:hAnsi="Calibri" w:cs="Times New Roman"/>
                <w:bCs/>
                <w:sz w:val="18"/>
                <w:szCs w:val="22"/>
                <w:lang w:eastAsia="en-GB"/>
              </w:rPr>
            </w:pPr>
            <w:r w:rsidRPr="007875CB">
              <w:rPr>
                <w:rFonts w:ascii="Calibri" w:eastAsia="Times New Roman" w:hAnsi="Calibri" w:cs="Times New Roman"/>
                <w:bCs/>
                <w:sz w:val="18"/>
                <w:szCs w:val="22"/>
                <w:lang w:eastAsia="en-GB"/>
              </w:rPr>
              <w:t>BOLTON</w:t>
            </w:r>
          </w:p>
        </w:tc>
        <w:tc>
          <w:tcPr>
            <w:tcW w:w="430" w:type="pct"/>
            <w:shd w:val="clear" w:color="000000" w:fill="F97B6F"/>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141</w:t>
            </w:r>
          </w:p>
        </w:tc>
        <w:tc>
          <w:tcPr>
            <w:tcW w:w="455" w:type="pct"/>
            <w:shd w:val="clear" w:color="000000" w:fill="FBA176"/>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119</w:t>
            </w:r>
          </w:p>
        </w:tc>
        <w:tc>
          <w:tcPr>
            <w:tcW w:w="485" w:type="pct"/>
            <w:shd w:val="clear" w:color="000000" w:fill="FFEB84"/>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76</w:t>
            </w:r>
          </w:p>
        </w:tc>
        <w:tc>
          <w:tcPr>
            <w:tcW w:w="449" w:type="pct"/>
            <w:shd w:val="clear" w:color="000000" w:fill="F6E883"/>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72</w:t>
            </w:r>
          </w:p>
        </w:tc>
        <w:tc>
          <w:tcPr>
            <w:tcW w:w="502" w:type="pct"/>
            <w:shd w:val="clear" w:color="000000" w:fill="FED881"/>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87</w:t>
            </w:r>
          </w:p>
        </w:tc>
        <w:tc>
          <w:tcPr>
            <w:tcW w:w="437" w:type="pct"/>
            <w:shd w:val="clear" w:color="000000" w:fill="BCD780"/>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44</w:t>
            </w:r>
          </w:p>
        </w:tc>
        <w:tc>
          <w:tcPr>
            <w:tcW w:w="392" w:type="pct"/>
            <w:shd w:val="clear" w:color="000000" w:fill="A1D07E"/>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31</w:t>
            </w:r>
          </w:p>
        </w:tc>
        <w:tc>
          <w:tcPr>
            <w:tcW w:w="469" w:type="pct"/>
            <w:shd w:val="clear" w:color="000000" w:fill="D7DF81"/>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57</w:t>
            </w:r>
          </w:p>
        </w:tc>
      </w:tr>
      <w:tr w:rsidR="00040D04" w:rsidTr="007875CB">
        <w:trPr>
          <w:trHeight w:val="20"/>
        </w:trPr>
        <w:tc>
          <w:tcPr>
            <w:tcW w:w="1381" w:type="pct"/>
            <w:shd w:val="clear" w:color="DDEBF7" w:fill="DDEBF7"/>
            <w:noWrap/>
            <w:vAlign w:val="bottom"/>
            <w:hideMark/>
          </w:tcPr>
          <w:p w:rsidR="007875CB" w:rsidRPr="007875CB" w:rsidRDefault="002E29C1" w:rsidP="007875CB">
            <w:pPr>
              <w:autoSpaceDE/>
              <w:autoSpaceDN/>
              <w:adjustRightInd/>
              <w:spacing w:after="0"/>
              <w:jc w:val="left"/>
              <w:rPr>
                <w:rFonts w:ascii="Calibri" w:eastAsia="Times New Roman" w:hAnsi="Calibri" w:cs="Times New Roman"/>
                <w:bCs/>
                <w:sz w:val="18"/>
                <w:szCs w:val="22"/>
                <w:lang w:eastAsia="en-GB"/>
              </w:rPr>
            </w:pPr>
            <w:r w:rsidRPr="007875CB">
              <w:rPr>
                <w:rFonts w:ascii="Calibri" w:eastAsia="Times New Roman" w:hAnsi="Calibri" w:cs="Times New Roman"/>
                <w:bCs/>
                <w:sz w:val="18"/>
                <w:szCs w:val="22"/>
                <w:lang w:eastAsia="en-GB"/>
              </w:rPr>
              <w:t>BURY</w:t>
            </w:r>
          </w:p>
        </w:tc>
        <w:tc>
          <w:tcPr>
            <w:tcW w:w="430" w:type="pct"/>
            <w:shd w:val="clear" w:color="000000" w:fill="F9766E"/>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144</w:t>
            </w:r>
          </w:p>
        </w:tc>
        <w:tc>
          <w:tcPr>
            <w:tcW w:w="455" w:type="pct"/>
            <w:shd w:val="clear" w:color="000000" w:fill="F9746D"/>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145</w:t>
            </w:r>
          </w:p>
        </w:tc>
        <w:tc>
          <w:tcPr>
            <w:tcW w:w="485" w:type="pct"/>
            <w:shd w:val="clear" w:color="000000" w:fill="F9746D"/>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145</w:t>
            </w:r>
          </w:p>
        </w:tc>
        <w:tc>
          <w:tcPr>
            <w:tcW w:w="449" w:type="pct"/>
            <w:shd w:val="clear" w:color="000000" w:fill="FA8270"/>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137</w:t>
            </w:r>
          </w:p>
        </w:tc>
        <w:tc>
          <w:tcPr>
            <w:tcW w:w="502" w:type="pct"/>
            <w:shd w:val="clear" w:color="000000" w:fill="FA7E70"/>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139</w:t>
            </w:r>
          </w:p>
        </w:tc>
        <w:tc>
          <w:tcPr>
            <w:tcW w:w="437" w:type="pct"/>
            <w:shd w:val="clear" w:color="000000" w:fill="FB9073"/>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129</w:t>
            </w:r>
          </w:p>
        </w:tc>
        <w:tc>
          <w:tcPr>
            <w:tcW w:w="392" w:type="pct"/>
            <w:shd w:val="clear" w:color="000000" w:fill="FB9073"/>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129</w:t>
            </w:r>
          </w:p>
        </w:tc>
        <w:tc>
          <w:tcPr>
            <w:tcW w:w="469" w:type="pct"/>
            <w:shd w:val="clear" w:color="000000" w:fill="FA8370"/>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136</w:t>
            </w:r>
          </w:p>
        </w:tc>
      </w:tr>
      <w:tr w:rsidR="00040D04" w:rsidTr="007875CB">
        <w:trPr>
          <w:trHeight w:val="20"/>
        </w:trPr>
        <w:tc>
          <w:tcPr>
            <w:tcW w:w="1381" w:type="pct"/>
            <w:shd w:val="clear" w:color="DDEBF7" w:fill="DDEBF7"/>
            <w:noWrap/>
            <w:vAlign w:val="bottom"/>
            <w:hideMark/>
          </w:tcPr>
          <w:p w:rsidR="007875CB" w:rsidRPr="007875CB" w:rsidRDefault="002E29C1" w:rsidP="007875CB">
            <w:pPr>
              <w:autoSpaceDE/>
              <w:autoSpaceDN/>
              <w:adjustRightInd/>
              <w:spacing w:after="0"/>
              <w:jc w:val="left"/>
              <w:rPr>
                <w:rFonts w:ascii="Calibri" w:eastAsia="Times New Roman" w:hAnsi="Calibri" w:cs="Times New Roman"/>
                <w:bCs/>
                <w:sz w:val="18"/>
                <w:szCs w:val="22"/>
                <w:lang w:eastAsia="en-GB"/>
              </w:rPr>
            </w:pPr>
            <w:r w:rsidRPr="007875CB">
              <w:rPr>
                <w:rFonts w:ascii="Calibri" w:eastAsia="Times New Roman" w:hAnsi="Calibri" w:cs="Times New Roman"/>
                <w:bCs/>
                <w:sz w:val="18"/>
                <w:szCs w:val="22"/>
                <w:lang w:eastAsia="en-GB"/>
              </w:rPr>
              <w:t>CHESHIRE EAST</w:t>
            </w:r>
          </w:p>
        </w:tc>
        <w:tc>
          <w:tcPr>
            <w:tcW w:w="430" w:type="pct"/>
            <w:shd w:val="clear" w:color="000000" w:fill="FFE383"/>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81</w:t>
            </w:r>
          </w:p>
        </w:tc>
        <w:tc>
          <w:tcPr>
            <w:tcW w:w="455" w:type="pct"/>
            <w:shd w:val="clear" w:color="000000" w:fill="FED380"/>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90</w:t>
            </w:r>
          </w:p>
        </w:tc>
        <w:tc>
          <w:tcPr>
            <w:tcW w:w="485" w:type="pct"/>
            <w:shd w:val="clear" w:color="000000" w:fill="F6E883"/>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72</w:t>
            </w:r>
          </w:p>
        </w:tc>
        <w:tc>
          <w:tcPr>
            <w:tcW w:w="449" w:type="pct"/>
            <w:shd w:val="clear" w:color="000000" w:fill="FED380"/>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90</w:t>
            </w:r>
          </w:p>
        </w:tc>
        <w:tc>
          <w:tcPr>
            <w:tcW w:w="502" w:type="pct"/>
            <w:shd w:val="clear" w:color="000000" w:fill="FEC97E"/>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96</w:t>
            </w:r>
          </w:p>
        </w:tc>
        <w:tc>
          <w:tcPr>
            <w:tcW w:w="437" w:type="pct"/>
            <w:shd w:val="clear" w:color="000000" w:fill="FED380"/>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90</w:t>
            </w:r>
          </w:p>
        </w:tc>
        <w:tc>
          <w:tcPr>
            <w:tcW w:w="392" w:type="pct"/>
            <w:shd w:val="clear" w:color="000000" w:fill="FDBB7B"/>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104</w:t>
            </w:r>
          </w:p>
        </w:tc>
        <w:tc>
          <w:tcPr>
            <w:tcW w:w="469" w:type="pct"/>
            <w:shd w:val="clear" w:color="000000" w:fill="FDC27C"/>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100</w:t>
            </w:r>
          </w:p>
        </w:tc>
      </w:tr>
      <w:tr w:rsidR="00040D04" w:rsidTr="007875CB">
        <w:trPr>
          <w:trHeight w:val="20"/>
        </w:trPr>
        <w:tc>
          <w:tcPr>
            <w:tcW w:w="1381" w:type="pct"/>
            <w:shd w:val="clear" w:color="DDEBF7" w:fill="DDEBF7"/>
            <w:noWrap/>
            <w:vAlign w:val="bottom"/>
            <w:hideMark/>
          </w:tcPr>
          <w:p w:rsidR="007875CB" w:rsidRPr="007875CB" w:rsidRDefault="002E29C1" w:rsidP="007875CB">
            <w:pPr>
              <w:autoSpaceDE/>
              <w:autoSpaceDN/>
              <w:adjustRightInd/>
              <w:spacing w:after="0"/>
              <w:jc w:val="left"/>
              <w:rPr>
                <w:rFonts w:ascii="Calibri" w:eastAsia="Times New Roman" w:hAnsi="Calibri" w:cs="Times New Roman"/>
                <w:bCs/>
                <w:sz w:val="18"/>
                <w:szCs w:val="22"/>
                <w:lang w:eastAsia="en-GB"/>
              </w:rPr>
            </w:pPr>
            <w:r w:rsidRPr="007875CB">
              <w:rPr>
                <w:rFonts w:ascii="Calibri" w:eastAsia="Times New Roman" w:hAnsi="Calibri" w:cs="Times New Roman"/>
                <w:bCs/>
                <w:sz w:val="18"/>
                <w:szCs w:val="22"/>
                <w:lang w:eastAsia="en-GB"/>
              </w:rPr>
              <w:t>CHESHIRE WEST AND CHESTER</w:t>
            </w:r>
          </w:p>
        </w:tc>
        <w:tc>
          <w:tcPr>
            <w:tcW w:w="430" w:type="pct"/>
            <w:shd w:val="clear" w:color="000000" w:fill="FED881"/>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87</w:t>
            </w:r>
          </w:p>
        </w:tc>
        <w:tc>
          <w:tcPr>
            <w:tcW w:w="455" w:type="pct"/>
            <w:shd w:val="clear" w:color="000000" w:fill="FCAF79"/>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111</w:t>
            </w:r>
          </w:p>
        </w:tc>
        <w:tc>
          <w:tcPr>
            <w:tcW w:w="485" w:type="pct"/>
            <w:shd w:val="clear" w:color="000000" w:fill="FDB87B"/>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106</w:t>
            </w:r>
          </w:p>
        </w:tc>
        <w:tc>
          <w:tcPr>
            <w:tcW w:w="449" w:type="pct"/>
            <w:shd w:val="clear" w:color="000000" w:fill="FDC27C"/>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100</w:t>
            </w:r>
          </w:p>
        </w:tc>
        <w:tc>
          <w:tcPr>
            <w:tcW w:w="502" w:type="pct"/>
            <w:shd w:val="clear" w:color="000000" w:fill="FFE182"/>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82</w:t>
            </w:r>
          </w:p>
        </w:tc>
        <w:tc>
          <w:tcPr>
            <w:tcW w:w="437" w:type="pct"/>
            <w:shd w:val="clear" w:color="000000" w:fill="FAE983"/>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74</w:t>
            </w:r>
          </w:p>
        </w:tc>
        <w:tc>
          <w:tcPr>
            <w:tcW w:w="392" w:type="pct"/>
            <w:shd w:val="clear" w:color="000000" w:fill="FBA176"/>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119</w:t>
            </w:r>
          </w:p>
        </w:tc>
        <w:tc>
          <w:tcPr>
            <w:tcW w:w="469" w:type="pct"/>
            <w:shd w:val="clear" w:color="000000" w:fill="FDBD7C"/>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103</w:t>
            </w:r>
          </w:p>
        </w:tc>
      </w:tr>
      <w:tr w:rsidR="00040D04" w:rsidTr="007875CB">
        <w:trPr>
          <w:trHeight w:val="20"/>
        </w:trPr>
        <w:tc>
          <w:tcPr>
            <w:tcW w:w="1381" w:type="pct"/>
            <w:shd w:val="clear" w:color="DDEBF7" w:fill="DDEBF7"/>
            <w:noWrap/>
            <w:vAlign w:val="bottom"/>
            <w:hideMark/>
          </w:tcPr>
          <w:p w:rsidR="007875CB" w:rsidRPr="007875CB" w:rsidRDefault="002E29C1" w:rsidP="007875CB">
            <w:pPr>
              <w:autoSpaceDE/>
              <w:autoSpaceDN/>
              <w:adjustRightInd/>
              <w:spacing w:after="0"/>
              <w:jc w:val="left"/>
              <w:rPr>
                <w:rFonts w:ascii="Calibri" w:eastAsia="Times New Roman" w:hAnsi="Calibri" w:cs="Times New Roman"/>
                <w:bCs/>
                <w:sz w:val="18"/>
                <w:szCs w:val="22"/>
                <w:lang w:eastAsia="en-GB"/>
              </w:rPr>
            </w:pPr>
            <w:r w:rsidRPr="007875CB">
              <w:rPr>
                <w:rFonts w:ascii="Calibri" w:eastAsia="Times New Roman" w:hAnsi="Calibri" w:cs="Times New Roman"/>
                <w:bCs/>
                <w:sz w:val="18"/>
                <w:szCs w:val="22"/>
                <w:lang w:eastAsia="en-GB"/>
              </w:rPr>
              <w:t>CUMBRIA</w:t>
            </w:r>
          </w:p>
        </w:tc>
        <w:tc>
          <w:tcPr>
            <w:tcW w:w="430" w:type="pct"/>
            <w:shd w:val="clear" w:color="000000" w:fill="F96B6C"/>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150</w:t>
            </w:r>
          </w:p>
        </w:tc>
        <w:tc>
          <w:tcPr>
            <w:tcW w:w="455" w:type="pct"/>
            <w:shd w:val="clear" w:color="000000" w:fill="F96B6C"/>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150</w:t>
            </w:r>
          </w:p>
        </w:tc>
        <w:tc>
          <w:tcPr>
            <w:tcW w:w="485" w:type="pct"/>
            <w:shd w:val="clear" w:color="000000" w:fill="F8696B"/>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151</w:t>
            </w:r>
          </w:p>
        </w:tc>
        <w:tc>
          <w:tcPr>
            <w:tcW w:w="449" w:type="pct"/>
            <w:shd w:val="clear" w:color="000000" w:fill="F8696B"/>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151</w:t>
            </w:r>
          </w:p>
        </w:tc>
        <w:tc>
          <w:tcPr>
            <w:tcW w:w="502" w:type="pct"/>
            <w:shd w:val="clear" w:color="000000" w:fill="F96B6C"/>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150</w:t>
            </w:r>
          </w:p>
        </w:tc>
        <w:tc>
          <w:tcPr>
            <w:tcW w:w="437" w:type="pct"/>
            <w:shd w:val="clear" w:color="000000" w:fill="F9776E"/>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143</w:t>
            </w:r>
          </w:p>
        </w:tc>
        <w:tc>
          <w:tcPr>
            <w:tcW w:w="392" w:type="pct"/>
            <w:shd w:val="clear" w:color="000000" w:fill="F9746D"/>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145</w:t>
            </w:r>
          </w:p>
        </w:tc>
        <w:tc>
          <w:tcPr>
            <w:tcW w:w="469" w:type="pct"/>
            <w:shd w:val="clear" w:color="000000" w:fill="F96D6C"/>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149</w:t>
            </w:r>
          </w:p>
        </w:tc>
      </w:tr>
      <w:tr w:rsidR="00040D04" w:rsidTr="007875CB">
        <w:trPr>
          <w:trHeight w:val="20"/>
        </w:trPr>
        <w:tc>
          <w:tcPr>
            <w:tcW w:w="1381" w:type="pct"/>
            <w:shd w:val="clear" w:color="DDEBF7" w:fill="DDEBF7"/>
            <w:noWrap/>
            <w:vAlign w:val="bottom"/>
            <w:hideMark/>
          </w:tcPr>
          <w:p w:rsidR="007875CB" w:rsidRPr="007875CB" w:rsidRDefault="002E29C1" w:rsidP="007875CB">
            <w:pPr>
              <w:autoSpaceDE/>
              <w:autoSpaceDN/>
              <w:adjustRightInd/>
              <w:spacing w:after="0"/>
              <w:jc w:val="left"/>
              <w:rPr>
                <w:rFonts w:ascii="Calibri" w:eastAsia="Times New Roman" w:hAnsi="Calibri" w:cs="Times New Roman"/>
                <w:bCs/>
                <w:sz w:val="18"/>
                <w:szCs w:val="22"/>
                <w:lang w:eastAsia="en-GB"/>
              </w:rPr>
            </w:pPr>
            <w:r w:rsidRPr="007875CB">
              <w:rPr>
                <w:rFonts w:ascii="Calibri" w:eastAsia="Times New Roman" w:hAnsi="Calibri" w:cs="Times New Roman"/>
                <w:bCs/>
                <w:sz w:val="18"/>
                <w:szCs w:val="22"/>
                <w:lang w:eastAsia="en-GB"/>
              </w:rPr>
              <w:t>HALTON UA</w:t>
            </w:r>
          </w:p>
        </w:tc>
        <w:tc>
          <w:tcPr>
            <w:tcW w:w="430" w:type="pct"/>
            <w:shd w:val="clear" w:color="000000" w:fill="FCA877"/>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115</w:t>
            </w:r>
          </w:p>
        </w:tc>
        <w:tc>
          <w:tcPr>
            <w:tcW w:w="455" w:type="pct"/>
            <w:shd w:val="clear" w:color="000000" w:fill="FA8771"/>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134</w:t>
            </w:r>
          </w:p>
        </w:tc>
        <w:tc>
          <w:tcPr>
            <w:tcW w:w="485" w:type="pct"/>
            <w:shd w:val="clear" w:color="000000" w:fill="F9766E"/>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144</w:t>
            </w:r>
          </w:p>
        </w:tc>
        <w:tc>
          <w:tcPr>
            <w:tcW w:w="449" w:type="pct"/>
            <w:shd w:val="clear" w:color="000000" w:fill="F9706D"/>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147</w:t>
            </w:r>
          </w:p>
        </w:tc>
        <w:tc>
          <w:tcPr>
            <w:tcW w:w="502" w:type="pct"/>
            <w:shd w:val="clear" w:color="000000" w:fill="FA8971"/>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133</w:t>
            </w:r>
          </w:p>
        </w:tc>
        <w:tc>
          <w:tcPr>
            <w:tcW w:w="437" w:type="pct"/>
            <w:shd w:val="clear" w:color="000000" w:fill="F9706D"/>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147</w:t>
            </w:r>
          </w:p>
        </w:tc>
        <w:tc>
          <w:tcPr>
            <w:tcW w:w="392" w:type="pct"/>
            <w:shd w:val="clear" w:color="000000" w:fill="F96B6C"/>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150</w:t>
            </w:r>
          </w:p>
        </w:tc>
        <w:tc>
          <w:tcPr>
            <w:tcW w:w="469" w:type="pct"/>
            <w:shd w:val="clear" w:color="000000" w:fill="FCAA78"/>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114</w:t>
            </w:r>
          </w:p>
        </w:tc>
      </w:tr>
      <w:tr w:rsidR="00040D04" w:rsidTr="007875CB">
        <w:trPr>
          <w:trHeight w:val="20"/>
        </w:trPr>
        <w:tc>
          <w:tcPr>
            <w:tcW w:w="1381" w:type="pct"/>
            <w:shd w:val="clear" w:color="DDEBF7" w:fill="DDEBF7"/>
            <w:noWrap/>
            <w:vAlign w:val="bottom"/>
            <w:hideMark/>
          </w:tcPr>
          <w:p w:rsidR="007875CB" w:rsidRPr="007875CB" w:rsidRDefault="002E29C1" w:rsidP="007875CB">
            <w:pPr>
              <w:autoSpaceDE/>
              <w:autoSpaceDN/>
              <w:adjustRightInd/>
              <w:spacing w:after="0"/>
              <w:jc w:val="left"/>
              <w:rPr>
                <w:rFonts w:ascii="Calibri" w:eastAsia="Times New Roman" w:hAnsi="Calibri" w:cs="Times New Roman"/>
                <w:bCs/>
                <w:sz w:val="18"/>
                <w:szCs w:val="22"/>
                <w:lang w:eastAsia="en-GB"/>
              </w:rPr>
            </w:pPr>
            <w:r w:rsidRPr="007875CB">
              <w:rPr>
                <w:rFonts w:ascii="Calibri" w:eastAsia="Times New Roman" w:hAnsi="Calibri" w:cs="Times New Roman"/>
                <w:bCs/>
                <w:sz w:val="18"/>
                <w:szCs w:val="22"/>
                <w:lang w:eastAsia="en-GB"/>
              </w:rPr>
              <w:t>KNOWSLEY</w:t>
            </w:r>
          </w:p>
        </w:tc>
        <w:tc>
          <w:tcPr>
            <w:tcW w:w="430" w:type="pct"/>
            <w:shd w:val="clear" w:color="000000" w:fill="FED380"/>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90</w:t>
            </w:r>
          </w:p>
        </w:tc>
        <w:tc>
          <w:tcPr>
            <w:tcW w:w="455" w:type="pct"/>
            <w:shd w:val="clear" w:color="000000" w:fill="F4E883"/>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71</w:t>
            </w:r>
          </w:p>
        </w:tc>
        <w:tc>
          <w:tcPr>
            <w:tcW w:w="485" w:type="pct"/>
            <w:shd w:val="clear" w:color="000000" w:fill="D9E081"/>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58</w:t>
            </w:r>
          </w:p>
        </w:tc>
        <w:tc>
          <w:tcPr>
            <w:tcW w:w="449" w:type="pct"/>
            <w:shd w:val="clear" w:color="000000" w:fill="A7D17E"/>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34</w:t>
            </w:r>
          </w:p>
        </w:tc>
        <w:tc>
          <w:tcPr>
            <w:tcW w:w="502" w:type="pct"/>
            <w:shd w:val="clear" w:color="000000" w:fill="FFDA81"/>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86</w:t>
            </w:r>
          </w:p>
        </w:tc>
        <w:tc>
          <w:tcPr>
            <w:tcW w:w="437" w:type="pct"/>
            <w:shd w:val="clear" w:color="000000" w:fill="FCAB78"/>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113</w:t>
            </w:r>
          </w:p>
        </w:tc>
        <w:tc>
          <w:tcPr>
            <w:tcW w:w="392" w:type="pct"/>
            <w:shd w:val="clear" w:color="000000" w:fill="FB9874"/>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124</w:t>
            </w:r>
          </w:p>
        </w:tc>
        <w:tc>
          <w:tcPr>
            <w:tcW w:w="469" w:type="pct"/>
            <w:shd w:val="clear" w:color="000000" w:fill="FCA677"/>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116</w:t>
            </w:r>
          </w:p>
        </w:tc>
      </w:tr>
      <w:tr w:rsidR="00040D04" w:rsidTr="007875CB">
        <w:trPr>
          <w:trHeight w:val="20"/>
        </w:trPr>
        <w:tc>
          <w:tcPr>
            <w:tcW w:w="1381" w:type="pct"/>
            <w:shd w:val="clear" w:color="DDEBF7" w:fill="DDEBF7"/>
            <w:noWrap/>
            <w:vAlign w:val="bottom"/>
            <w:hideMark/>
          </w:tcPr>
          <w:p w:rsidR="007875CB" w:rsidRPr="007875CB" w:rsidRDefault="002E29C1" w:rsidP="007875CB">
            <w:pPr>
              <w:autoSpaceDE/>
              <w:autoSpaceDN/>
              <w:adjustRightInd/>
              <w:spacing w:after="0"/>
              <w:jc w:val="left"/>
              <w:rPr>
                <w:rFonts w:ascii="Calibri" w:eastAsia="Times New Roman" w:hAnsi="Calibri" w:cs="Times New Roman"/>
                <w:bCs/>
                <w:sz w:val="18"/>
                <w:szCs w:val="22"/>
                <w:lang w:eastAsia="en-GB"/>
              </w:rPr>
            </w:pPr>
            <w:r w:rsidRPr="007875CB">
              <w:rPr>
                <w:rFonts w:ascii="Calibri" w:eastAsia="Times New Roman" w:hAnsi="Calibri" w:cs="Times New Roman"/>
                <w:bCs/>
                <w:sz w:val="18"/>
                <w:szCs w:val="22"/>
                <w:lang w:eastAsia="en-GB"/>
              </w:rPr>
              <w:t>LANCASHIRE</w:t>
            </w:r>
          </w:p>
        </w:tc>
        <w:tc>
          <w:tcPr>
            <w:tcW w:w="430" w:type="pct"/>
            <w:shd w:val="clear" w:color="000000" w:fill="FDC47D"/>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99</w:t>
            </w:r>
          </w:p>
        </w:tc>
        <w:tc>
          <w:tcPr>
            <w:tcW w:w="455" w:type="pct"/>
            <w:shd w:val="clear" w:color="000000" w:fill="FDB67A"/>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107</w:t>
            </w:r>
          </w:p>
        </w:tc>
        <w:tc>
          <w:tcPr>
            <w:tcW w:w="485" w:type="pct"/>
            <w:shd w:val="clear" w:color="000000" w:fill="FDB67A"/>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107</w:t>
            </w:r>
          </w:p>
        </w:tc>
        <w:tc>
          <w:tcPr>
            <w:tcW w:w="449" w:type="pct"/>
            <w:shd w:val="clear" w:color="000000" w:fill="FDB87B"/>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106</w:t>
            </w:r>
          </w:p>
        </w:tc>
        <w:tc>
          <w:tcPr>
            <w:tcW w:w="502" w:type="pct"/>
            <w:shd w:val="clear" w:color="000000" w:fill="FDC27C"/>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100</w:t>
            </w:r>
          </w:p>
        </w:tc>
        <w:tc>
          <w:tcPr>
            <w:tcW w:w="437" w:type="pct"/>
            <w:shd w:val="clear" w:color="000000" w:fill="FFDA81"/>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86</w:t>
            </w:r>
          </w:p>
        </w:tc>
        <w:tc>
          <w:tcPr>
            <w:tcW w:w="392" w:type="pct"/>
            <w:shd w:val="clear" w:color="000000" w:fill="FECE7F"/>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93</w:t>
            </w:r>
          </w:p>
        </w:tc>
        <w:tc>
          <w:tcPr>
            <w:tcW w:w="469" w:type="pct"/>
            <w:shd w:val="clear" w:color="000000" w:fill="FED881"/>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87</w:t>
            </w:r>
          </w:p>
        </w:tc>
      </w:tr>
      <w:tr w:rsidR="00040D04" w:rsidTr="007875CB">
        <w:trPr>
          <w:trHeight w:val="20"/>
        </w:trPr>
        <w:tc>
          <w:tcPr>
            <w:tcW w:w="1381" w:type="pct"/>
            <w:shd w:val="clear" w:color="DDEBF7" w:fill="DDEBF7"/>
            <w:noWrap/>
            <w:vAlign w:val="bottom"/>
            <w:hideMark/>
          </w:tcPr>
          <w:p w:rsidR="007875CB" w:rsidRPr="007875CB" w:rsidRDefault="002E29C1" w:rsidP="007875CB">
            <w:pPr>
              <w:autoSpaceDE/>
              <w:autoSpaceDN/>
              <w:adjustRightInd/>
              <w:spacing w:after="0"/>
              <w:jc w:val="left"/>
              <w:rPr>
                <w:rFonts w:ascii="Calibri" w:eastAsia="Times New Roman" w:hAnsi="Calibri" w:cs="Times New Roman"/>
                <w:bCs/>
                <w:sz w:val="18"/>
                <w:szCs w:val="22"/>
                <w:lang w:eastAsia="en-GB"/>
              </w:rPr>
            </w:pPr>
            <w:r w:rsidRPr="007875CB">
              <w:rPr>
                <w:rFonts w:ascii="Calibri" w:eastAsia="Times New Roman" w:hAnsi="Calibri" w:cs="Times New Roman"/>
                <w:bCs/>
                <w:sz w:val="18"/>
                <w:szCs w:val="22"/>
                <w:lang w:eastAsia="en-GB"/>
              </w:rPr>
              <w:t>LIVERPOOL</w:t>
            </w:r>
          </w:p>
        </w:tc>
        <w:tc>
          <w:tcPr>
            <w:tcW w:w="430" w:type="pct"/>
            <w:shd w:val="clear" w:color="000000" w:fill="FCAA78"/>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114</w:t>
            </w:r>
          </w:p>
        </w:tc>
        <w:tc>
          <w:tcPr>
            <w:tcW w:w="455" w:type="pct"/>
            <w:shd w:val="clear" w:color="000000" w:fill="FED781"/>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88</w:t>
            </w:r>
          </w:p>
        </w:tc>
        <w:tc>
          <w:tcPr>
            <w:tcW w:w="485" w:type="pct"/>
            <w:shd w:val="clear" w:color="000000" w:fill="FED580"/>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89</w:t>
            </w:r>
          </w:p>
        </w:tc>
        <w:tc>
          <w:tcPr>
            <w:tcW w:w="449" w:type="pct"/>
            <w:shd w:val="clear" w:color="000000" w:fill="FED881"/>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87</w:t>
            </w:r>
          </w:p>
        </w:tc>
        <w:tc>
          <w:tcPr>
            <w:tcW w:w="502" w:type="pct"/>
            <w:shd w:val="clear" w:color="000000" w:fill="FB9874"/>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124</w:t>
            </w:r>
          </w:p>
        </w:tc>
        <w:tc>
          <w:tcPr>
            <w:tcW w:w="437" w:type="pct"/>
            <w:shd w:val="clear" w:color="000000" w:fill="FDBE7C"/>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102</w:t>
            </w:r>
          </w:p>
        </w:tc>
        <w:tc>
          <w:tcPr>
            <w:tcW w:w="392" w:type="pct"/>
            <w:shd w:val="clear" w:color="000000" w:fill="FDC27C"/>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100</w:t>
            </w:r>
          </w:p>
        </w:tc>
        <w:tc>
          <w:tcPr>
            <w:tcW w:w="469" w:type="pct"/>
            <w:shd w:val="clear" w:color="000000" w:fill="FB9073"/>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129</w:t>
            </w:r>
          </w:p>
        </w:tc>
      </w:tr>
      <w:tr w:rsidR="00040D04" w:rsidTr="007875CB">
        <w:trPr>
          <w:trHeight w:val="20"/>
        </w:trPr>
        <w:tc>
          <w:tcPr>
            <w:tcW w:w="1381" w:type="pct"/>
            <w:shd w:val="clear" w:color="DDEBF7" w:fill="DDEBF7"/>
            <w:noWrap/>
            <w:vAlign w:val="bottom"/>
            <w:hideMark/>
          </w:tcPr>
          <w:p w:rsidR="007875CB" w:rsidRPr="007875CB" w:rsidRDefault="002E29C1" w:rsidP="007875CB">
            <w:pPr>
              <w:autoSpaceDE/>
              <w:autoSpaceDN/>
              <w:adjustRightInd/>
              <w:spacing w:after="0"/>
              <w:jc w:val="left"/>
              <w:rPr>
                <w:rFonts w:ascii="Calibri" w:eastAsia="Times New Roman" w:hAnsi="Calibri" w:cs="Times New Roman"/>
                <w:bCs/>
                <w:sz w:val="18"/>
                <w:szCs w:val="22"/>
                <w:lang w:eastAsia="en-GB"/>
              </w:rPr>
            </w:pPr>
            <w:r w:rsidRPr="007875CB">
              <w:rPr>
                <w:rFonts w:ascii="Calibri" w:eastAsia="Times New Roman" w:hAnsi="Calibri" w:cs="Times New Roman"/>
                <w:bCs/>
                <w:sz w:val="18"/>
                <w:szCs w:val="22"/>
                <w:lang w:eastAsia="en-GB"/>
              </w:rPr>
              <w:t>MANCHESTER</w:t>
            </w:r>
          </w:p>
        </w:tc>
        <w:tc>
          <w:tcPr>
            <w:tcW w:w="430" w:type="pct"/>
            <w:shd w:val="clear" w:color="000000" w:fill="FA8971"/>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133</w:t>
            </w:r>
          </w:p>
        </w:tc>
        <w:tc>
          <w:tcPr>
            <w:tcW w:w="455" w:type="pct"/>
            <w:shd w:val="clear" w:color="000000" w:fill="FA8270"/>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137</w:t>
            </w:r>
          </w:p>
        </w:tc>
        <w:tc>
          <w:tcPr>
            <w:tcW w:w="485" w:type="pct"/>
            <w:shd w:val="clear" w:color="000000" w:fill="FB9073"/>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129</w:t>
            </w:r>
          </w:p>
        </w:tc>
        <w:tc>
          <w:tcPr>
            <w:tcW w:w="449" w:type="pct"/>
            <w:shd w:val="clear" w:color="000000" w:fill="FB9173"/>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128</w:t>
            </w:r>
          </w:p>
        </w:tc>
        <w:tc>
          <w:tcPr>
            <w:tcW w:w="502" w:type="pct"/>
            <w:shd w:val="clear" w:color="000000" w:fill="FCA477"/>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117</w:t>
            </w:r>
          </w:p>
        </w:tc>
        <w:tc>
          <w:tcPr>
            <w:tcW w:w="437" w:type="pct"/>
            <w:shd w:val="clear" w:color="000000" w:fill="FB9373"/>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127</w:t>
            </w:r>
          </w:p>
        </w:tc>
        <w:tc>
          <w:tcPr>
            <w:tcW w:w="392" w:type="pct"/>
            <w:shd w:val="clear" w:color="000000" w:fill="FB9C75"/>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122</w:t>
            </w:r>
          </w:p>
        </w:tc>
        <w:tc>
          <w:tcPr>
            <w:tcW w:w="469" w:type="pct"/>
            <w:shd w:val="clear" w:color="000000" w:fill="FB9874"/>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124</w:t>
            </w:r>
          </w:p>
        </w:tc>
      </w:tr>
      <w:tr w:rsidR="00040D04" w:rsidTr="007875CB">
        <w:trPr>
          <w:trHeight w:val="20"/>
        </w:trPr>
        <w:tc>
          <w:tcPr>
            <w:tcW w:w="1381" w:type="pct"/>
            <w:shd w:val="clear" w:color="DDEBF7" w:fill="DDEBF7"/>
            <w:noWrap/>
            <w:vAlign w:val="bottom"/>
            <w:hideMark/>
          </w:tcPr>
          <w:p w:rsidR="007875CB" w:rsidRPr="007875CB" w:rsidRDefault="002E29C1" w:rsidP="007875CB">
            <w:pPr>
              <w:autoSpaceDE/>
              <w:autoSpaceDN/>
              <w:adjustRightInd/>
              <w:spacing w:after="0"/>
              <w:jc w:val="left"/>
              <w:rPr>
                <w:rFonts w:ascii="Calibri" w:eastAsia="Times New Roman" w:hAnsi="Calibri" w:cs="Times New Roman"/>
                <w:bCs/>
                <w:sz w:val="18"/>
                <w:szCs w:val="22"/>
                <w:lang w:eastAsia="en-GB"/>
              </w:rPr>
            </w:pPr>
            <w:r w:rsidRPr="007875CB">
              <w:rPr>
                <w:rFonts w:ascii="Calibri" w:eastAsia="Times New Roman" w:hAnsi="Calibri" w:cs="Times New Roman"/>
                <w:bCs/>
                <w:sz w:val="18"/>
                <w:szCs w:val="22"/>
                <w:lang w:eastAsia="en-GB"/>
              </w:rPr>
              <w:t>OLDHAM</w:t>
            </w:r>
          </w:p>
        </w:tc>
        <w:tc>
          <w:tcPr>
            <w:tcW w:w="430" w:type="pct"/>
            <w:shd w:val="clear" w:color="000000" w:fill="9DCE7E"/>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29</w:t>
            </w:r>
          </w:p>
        </w:tc>
        <w:tc>
          <w:tcPr>
            <w:tcW w:w="455" w:type="pct"/>
            <w:shd w:val="clear" w:color="000000" w:fill="E1E282"/>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62</w:t>
            </w:r>
          </w:p>
        </w:tc>
        <w:tc>
          <w:tcPr>
            <w:tcW w:w="485" w:type="pct"/>
            <w:shd w:val="clear" w:color="000000" w:fill="F0E683"/>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69</w:t>
            </w:r>
          </w:p>
        </w:tc>
        <w:tc>
          <w:tcPr>
            <w:tcW w:w="449" w:type="pct"/>
            <w:shd w:val="clear" w:color="000000" w:fill="9FCF7E"/>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30</w:t>
            </w:r>
          </w:p>
        </w:tc>
        <w:tc>
          <w:tcPr>
            <w:tcW w:w="502" w:type="pct"/>
            <w:shd w:val="clear" w:color="000000" w:fill="CBDC81"/>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51</w:t>
            </w:r>
          </w:p>
        </w:tc>
        <w:tc>
          <w:tcPr>
            <w:tcW w:w="437" w:type="pct"/>
            <w:shd w:val="clear" w:color="000000" w:fill="FED07F"/>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92</w:t>
            </w:r>
          </w:p>
        </w:tc>
        <w:tc>
          <w:tcPr>
            <w:tcW w:w="392" w:type="pct"/>
            <w:shd w:val="clear" w:color="000000" w:fill="FDC47D"/>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99</w:t>
            </w:r>
          </w:p>
        </w:tc>
        <w:tc>
          <w:tcPr>
            <w:tcW w:w="469" w:type="pct"/>
            <w:shd w:val="clear" w:color="000000" w:fill="FFE383"/>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81</w:t>
            </w:r>
          </w:p>
        </w:tc>
      </w:tr>
      <w:tr w:rsidR="00040D04" w:rsidTr="007875CB">
        <w:trPr>
          <w:trHeight w:val="20"/>
        </w:trPr>
        <w:tc>
          <w:tcPr>
            <w:tcW w:w="1381" w:type="pct"/>
            <w:shd w:val="clear" w:color="DDEBF7" w:fill="DDEBF7"/>
            <w:noWrap/>
            <w:vAlign w:val="bottom"/>
            <w:hideMark/>
          </w:tcPr>
          <w:p w:rsidR="007875CB" w:rsidRPr="007875CB" w:rsidRDefault="002E29C1" w:rsidP="007875CB">
            <w:pPr>
              <w:autoSpaceDE/>
              <w:autoSpaceDN/>
              <w:adjustRightInd/>
              <w:spacing w:after="0"/>
              <w:jc w:val="left"/>
              <w:rPr>
                <w:rFonts w:ascii="Calibri" w:eastAsia="Times New Roman" w:hAnsi="Calibri" w:cs="Times New Roman"/>
                <w:bCs/>
                <w:sz w:val="18"/>
                <w:szCs w:val="22"/>
                <w:lang w:eastAsia="en-GB"/>
              </w:rPr>
            </w:pPr>
            <w:r w:rsidRPr="007875CB">
              <w:rPr>
                <w:rFonts w:ascii="Calibri" w:eastAsia="Times New Roman" w:hAnsi="Calibri" w:cs="Times New Roman"/>
                <w:bCs/>
                <w:sz w:val="18"/>
                <w:szCs w:val="22"/>
                <w:lang w:eastAsia="en-GB"/>
              </w:rPr>
              <w:t>ROCHDALE</w:t>
            </w:r>
          </w:p>
        </w:tc>
        <w:tc>
          <w:tcPr>
            <w:tcW w:w="430" w:type="pct"/>
            <w:shd w:val="clear" w:color="000000" w:fill="CDDC81"/>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52</w:t>
            </w:r>
          </w:p>
        </w:tc>
        <w:tc>
          <w:tcPr>
            <w:tcW w:w="455" w:type="pct"/>
            <w:shd w:val="clear" w:color="000000" w:fill="A9D27F"/>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35</w:t>
            </w:r>
          </w:p>
        </w:tc>
        <w:tc>
          <w:tcPr>
            <w:tcW w:w="485" w:type="pct"/>
            <w:shd w:val="clear" w:color="000000" w:fill="FFE884"/>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78</w:t>
            </w:r>
          </w:p>
        </w:tc>
        <w:tc>
          <w:tcPr>
            <w:tcW w:w="449" w:type="pct"/>
            <w:shd w:val="clear" w:color="000000" w:fill="EEE683"/>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68</w:t>
            </w:r>
          </w:p>
        </w:tc>
        <w:tc>
          <w:tcPr>
            <w:tcW w:w="502" w:type="pct"/>
            <w:shd w:val="clear" w:color="000000" w:fill="DDE182"/>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60</w:t>
            </w:r>
          </w:p>
        </w:tc>
        <w:tc>
          <w:tcPr>
            <w:tcW w:w="437" w:type="pct"/>
            <w:shd w:val="clear" w:color="000000" w:fill="CFDD81"/>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53</w:t>
            </w:r>
          </w:p>
        </w:tc>
        <w:tc>
          <w:tcPr>
            <w:tcW w:w="392" w:type="pct"/>
            <w:shd w:val="clear" w:color="000000" w:fill="C0D980"/>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46</w:t>
            </w:r>
          </w:p>
        </w:tc>
        <w:tc>
          <w:tcPr>
            <w:tcW w:w="469" w:type="pct"/>
            <w:shd w:val="clear" w:color="000000" w:fill="C4DA80"/>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48</w:t>
            </w:r>
          </w:p>
        </w:tc>
      </w:tr>
      <w:tr w:rsidR="00040D04" w:rsidTr="007875CB">
        <w:trPr>
          <w:trHeight w:val="20"/>
        </w:trPr>
        <w:tc>
          <w:tcPr>
            <w:tcW w:w="1381" w:type="pct"/>
            <w:shd w:val="clear" w:color="DDEBF7" w:fill="DDEBF7"/>
            <w:noWrap/>
            <w:vAlign w:val="bottom"/>
            <w:hideMark/>
          </w:tcPr>
          <w:p w:rsidR="007875CB" w:rsidRPr="007875CB" w:rsidRDefault="002E29C1" w:rsidP="007875CB">
            <w:pPr>
              <w:autoSpaceDE/>
              <w:autoSpaceDN/>
              <w:adjustRightInd/>
              <w:spacing w:after="0"/>
              <w:jc w:val="left"/>
              <w:rPr>
                <w:rFonts w:ascii="Calibri" w:eastAsia="Times New Roman" w:hAnsi="Calibri" w:cs="Times New Roman"/>
                <w:bCs/>
                <w:sz w:val="18"/>
                <w:szCs w:val="22"/>
                <w:lang w:eastAsia="en-GB"/>
              </w:rPr>
            </w:pPr>
            <w:r w:rsidRPr="007875CB">
              <w:rPr>
                <w:rFonts w:ascii="Calibri" w:eastAsia="Times New Roman" w:hAnsi="Calibri" w:cs="Times New Roman"/>
                <w:bCs/>
                <w:sz w:val="18"/>
                <w:szCs w:val="22"/>
                <w:lang w:eastAsia="en-GB"/>
              </w:rPr>
              <w:t>SALFORD</w:t>
            </w:r>
          </w:p>
        </w:tc>
        <w:tc>
          <w:tcPr>
            <w:tcW w:w="430" w:type="pct"/>
            <w:shd w:val="clear" w:color="000000" w:fill="FAE983"/>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74</w:t>
            </w:r>
          </w:p>
        </w:tc>
        <w:tc>
          <w:tcPr>
            <w:tcW w:w="455" w:type="pct"/>
            <w:shd w:val="clear" w:color="000000" w:fill="EEE683"/>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68</w:t>
            </w:r>
          </w:p>
        </w:tc>
        <w:tc>
          <w:tcPr>
            <w:tcW w:w="485" w:type="pct"/>
            <w:shd w:val="clear" w:color="000000" w:fill="CDDC81"/>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52</w:t>
            </w:r>
          </w:p>
        </w:tc>
        <w:tc>
          <w:tcPr>
            <w:tcW w:w="449" w:type="pct"/>
            <w:shd w:val="clear" w:color="000000" w:fill="80C67C"/>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15</w:t>
            </w:r>
          </w:p>
        </w:tc>
        <w:tc>
          <w:tcPr>
            <w:tcW w:w="502" w:type="pct"/>
            <w:shd w:val="clear" w:color="000000" w:fill="92CB7D"/>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24</w:t>
            </w:r>
          </w:p>
        </w:tc>
        <w:tc>
          <w:tcPr>
            <w:tcW w:w="437" w:type="pct"/>
            <w:shd w:val="clear" w:color="000000" w:fill="90CB7D"/>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23</w:t>
            </w:r>
          </w:p>
        </w:tc>
        <w:tc>
          <w:tcPr>
            <w:tcW w:w="392" w:type="pct"/>
            <w:shd w:val="clear" w:color="000000" w:fill="77C47C"/>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11</w:t>
            </w:r>
          </w:p>
        </w:tc>
        <w:tc>
          <w:tcPr>
            <w:tcW w:w="469" w:type="pct"/>
            <w:shd w:val="clear" w:color="000000" w:fill="C6DA80"/>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49</w:t>
            </w:r>
          </w:p>
        </w:tc>
      </w:tr>
      <w:tr w:rsidR="00040D04" w:rsidTr="007875CB">
        <w:trPr>
          <w:trHeight w:val="20"/>
        </w:trPr>
        <w:tc>
          <w:tcPr>
            <w:tcW w:w="1381" w:type="pct"/>
            <w:shd w:val="clear" w:color="DDEBF7" w:fill="DDEBF7"/>
            <w:noWrap/>
            <w:vAlign w:val="bottom"/>
            <w:hideMark/>
          </w:tcPr>
          <w:p w:rsidR="007875CB" w:rsidRPr="007875CB" w:rsidRDefault="002E29C1" w:rsidP="007875CB">
            <w:pPr>
              <w:autoSpaceDE/>
              <w:autoSpaceDN/>
              <w:adjustRightInd/>
              <w:spacing w:after="0"/>
              <w:jc w:val="left"/>
              <w:rPr>
                <w:rFonts w:ascii="Calibri" w:eastAsia="Times New Roman" w:hAnsi="Calibri" w:cs="Times New Roman"/>
                <w:bCs/>
                <w:sz w:val="18"/>
                <w:szCs w:val="22"/>
                <w:lang w:eastAsia="en-GB"/>
              </w:rPr>
            </w:pPr>
            <w:r w:rsidRPr="007875CB">
              <w:rPr>
                <w:rFonts w:ascii="Calibri" w:eastAsia="Times New Roman" w:hAnsi="Calibri" w:cs="Times New Roman"/>
                <w:bCs/>
                <w:sz w:val="18"/>
                <w:szCs w:val="22"/>
                <w:lang w:eastAsia="en-GB"/>
              </w:rPr>
              <w:t>SEFTON</w:t>
            </w:r>
          </w:p>
        </w:tc>
        <w:tc>
          <w:tcPr>
            <w:tcW w:w="430" w:type="pct"/>
            <w:shd w:val="clear" w:color="000000" w:fill="FB9F76"/>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120</w:t>
            </w:r>
          </w:p>
        </w:tc>
        <w:tc>
          <w:tcPr>
            <w:tcW w:w="455" w:type="pct"/>
            <w:shd w:val="clear" w:color="000000" w:fill="FB9F76"/>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120</w:t>
            </w:r>
          </w:p>
        </w:tc>
        <w:tc>
          <w:tcPr>
            <w:tcW w:w="485" w:type="pct"/>
            <w:shd w:val="clear" w:color="000000" w:fill="FB9874"/>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124</w:t>
            </w:r>
          </w:p>
        </w:tc>
        <w:tc>
          <w:tcPr>
            <w:tcW w:w="449" w:type="pct"/>
            <w:shd w:val="clear" w:color="000000" w:fill="FCA477"/>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117</w:t>
            </w:r>
          </w:p>
        </w:tc>
        <w:tc>
          <w:tcPr>
            <w:tcW w:w="502" w:type="pct"/>
            <w:shd w:val="clear" w:color="000000" w:fill="FCB27A"/>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109</w:t>
            </w:r>
          </w:p>
        </w:tc>
        <w:tc>
          <w:tcPr>
            <w:tcW w:w="437" w:type="pct"/>
            <w:shd w:val="clear" w:color="000000" w:fill="FB9D75"/>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121</w:t>
            </w:r>
          </w:p>
        </w:tc>
        <w:tc>
          <w:tcPr>
            <w:tcW w:w="392" w:type="pct"/>
            <w:shd w:val="clear" w:color="000000" w:fill="FDB47A"/>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108</w:t>
            </w:r>
          </w:p>
        </w:tc>
        <w:tc>
          <w:tcPr>
            <w:tcW w:w="469" w:type="pct"/>
            <w:shd w:val="clear" w:color="000000" w:fill="FA8571"/>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135</w:t>
            </w:r>
          </w:p>
        </w:tc>
      </w:tr>
      <w:tr w:rsidR="00040D04" w:rsidTr="007875CB">
        <w:trPr>
          <w:trHeight w:val="20"/>
        </w:trPr>
        <w:tc>
          <w:tcPr>
            <w:tcW w:w="1381" w:type="pct"/>
            <w:shd w:val="clear" w:color="DDEBF7" w:fill="DDEBF7"/>
            <w:noWrap/>
            <w:vAlign w:val="bottom"/>
            <w:hideMark/>
          </w:tcPr>
          <w:p w:rsidR="007875CB" w:rsidRPr="007875CB" w:rsidRDefault="002E29C1" w:rsidP="007875CB">
            <w:pPr>
              <w:autoSpaceDE/>
              <w:autoSpaceDN/>
              <w:adjustRightInd/>
              <w:spacing w:after="0"/>
              <w:jc w:val="left"/>
              <w:rPr>
                <w:rFonts w:ascii="Calibri" w:eastAsia="Times New Roman" w:hAnsi="Calibri" w:cs="Times New Roman"/>
                <w:bCs/>
                <w:sz w:val="18"/>
                <w:szCs w:val="22"/>
                <w:lang w:eastAsia="en-GB"/>
              </w:rPr>
            </w:pPr>
            <w:r w:rsidRPr="007875CB">
              <w:rPr>
                <w:rFonts w:ascii="Calibri" w:eastAsia="Times New Roman" w:hAnsi="Calibri" w:cs="Times New Roman"/>
                <w:bCs/>
                <w:sz w:val="18"/>
                <w:szCs w:val="22"/>
                <w:lang w:eastAsia="en-GB"/>
              </w:rPr>
              <w:t>ST HELENS</w:t>
            </w:r>
          </w:p>
        </w:tc>
        <w:tc>
          <w:tcPr>
            <w:tcW w:w="430" w:type="pct"/>
            <w:shd w:val="clear" w:color="000000" w:fill="D9E081"/>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58</w:t>
            </w:r>
          </w:p>
        </w:tc>
        <w:tc>
          <w:tcPr>
            <w:tcW w:w="455" w:type="pct"/>
            <w:shd w:val="clear" w:color="000000" w:fill="92CB7D"/>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24</w:t>
            </w:r>
          </w:p>
        </w:tc>
        <w:tc>
          <w:tcPr>
            <w:tcW w:w="485" w:type="pct"/>
            <w:shd w:val="clear" w:color="000000" w:fill="80C67C"/>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15</w:t>
            </w:r>
          </w:p>
        </w:tc>
        <w:tc>
          <w:tcPr>
            <w:tcW w:w="449" w:type="pct"/>
            <w:shd w:val="clear" w:color="000000" w:fill="CDDC81"/>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52</w:t>
            </w:r>
          </w:p>
        </w:tc>
        <w:tc>
          <w:tcPr>
            <w:tcW w:w="502" w:type="pct"/>
            <w:shd w:val="clear" w:color="000000" w:fill="AFD47F"/>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38</w:t>
            </w:r>
          </w:p>
        </w:tc>
        <w:tc>
          <w:tcPr>
            <w:tcW w:w="437" w:type="pct"/>
            <w:shd w:val="clear" w:color="000000" w:fill="CDDC81"/>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52</w:t>
            </w:r>
          </w:p>
        </w:tc>
        <w:tc>
          <w:tcPr>
            <w:tcW w:w="392" w:type="pct"/>
            <w:shd w:val="clear" w:color="000000" w:fill="6FC17B"/>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7</w:t>
            </w:r>
          </w:p>
        </w:tc>
        <w:tc>
          <w:tcPr>
            <w:tcW w:w="469" w:type="pct"/>
            <w:shd w:val="clear" w:color="000000" w:fill="9BCE7E"/>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28</w:t>
            </w:r>
          </w:p>
        </w:tc>
      </w:tr>
      <w:tr w:rsidR="00040D04" w:rsidTr="007875CB">
        <w:trPr>
          <w:trHeight w:val="20"/>
        </w:trPr>
        <w:tc>
          <w:tcPr>
            <w:tcW w:w="1381" w:type="pct"/>
            <w:shd w:val="clear" w:color="DDEBF7" w:fill="DDEBF7"/>
            <w:noWrap/>
            <w:vAlign w:val="bottom"/>
            <w:hideMark/>
          </w:tcPr>
          <w:p w:rsidR="007875CB" w:rsidRPr="007875CB" w:rsidRDefault="002E29C1" w:rsidP="007875CB">
            <w:pPr>
              <w:autoSpaceDE/>
              <w:autoSpaceDN/>
              <w:adjustRightInd/>
              <w:spacing w:after="0"/>
              <w:jc w:val="left"/>
              <w:rPr>
                <w:rFonts w:ascii="Calibri" w:eastAsia="Times New Roman" w:hAnsi="Calibri" w:cs="Times New Roman"/>
                <w:bCs/>
                <w:sz w:val="18"/>
                <w:szCs w:val="22"/>
                <w:lang w:eastAsia="en-GB"/>
              </w:rPr>
            </w:pPr>
            <w:r w:rsidRPr="007875CB">
              <w:rPr>
                <w:rFonts w:ascii="Calibri" w:eastAsia="Times New Roman" w:hAnsi="Calibri" w:cs="Times New Roman"/>
                <w:bCs/>
                <w:sz w:val="18"/>
                <w:szCs w:val="22"/>
                <w:lang w:eastAsia="en-GB"/>
              </w:rPr>
              <w:t>STOCKPORT</w:t>
            </w:r>
          </w:p>
        </w:tc>
        <w:tc>
          <w:tcPr>
            <w:tcW w:w="430" w:type="pct"/>
            <w:shd w:val="clear" w:color="000000" w:fill="FB9574"/>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126</w:t>
            </w:r>
          </w:p>
        </w:tc>
        <w:tc>
          <w:tcPr>
            <w:tcW w:w="455" w:type="pct"/>
            <w:shd w:val="clear" w:color="000000" w:fill="FB9373"/>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127</w:t>
            </w:r>
          </w:p>
        </w:tc>
        <w:tc>
          <w:tcPr>
            <w:tcW w:w="485" w:type="pct"/>
            <w:shd w:val="clear" w:color="000000" w:fill="FA8A72"/>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132</w:t>
            </w:r>
          </w:p>
        </w:tc>
        <w:tc>
          <w:tcPr>
            <w:tcW w:w="449" w:type="pct"/>
            <w:shd w:val="clear" w:color="000000" w:fill="FB9574"/>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126</w:t>
            </w:r>
          </w:p>
        </w:tc>
        <w:tc>
          <w:tcPr>
            <w:tcW w:w="502" w:type="pct"/>
            <w:shd w:val="clear" w:color="000000" w:fill="FCA677"/>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116</w:t>
            </w:r>
          </w:p>
        </w:tc>
        <w:tc>
          <w:tcPr>
            <w:tcW w:w="437" w:type="pct"/>
            <w:shd w:val="clear" w:color="000000" w:fill="FCB179"/>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110</w:t>
            </w:r>
          </w:p>
        </w:tc>
        <w:tc>
          <w:tcPr>
            <w:tcW w:w="392" w:type="pct"/>
            <w:shd w:val="clear" w:color="000000" w:fill="FB9D75"/>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121</w:t>
            </w:r>
          </w:p>
        </w:tc>
        <w:tc>
          <w:tcPr>
            <w:tcW w:w="469" w:type="pct"/>
            <w:shd w:val="clear" w:color="000000" w:fill="FDB97B"/>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105</w:t>
            </w:r>
          </w:p>
        </w:tc>
      </w:tr>
      <w:tr w:rsidR="00040D04" w:rsidTr="007875CB">
        <w:trPr>
          <w:trHeight w:val="20"/>
        </w:trPr>
        <w:tc>
          <w:tcPr>
            <w:tcW w:w="1381" w:type="pct"/>
            <w:shd w:val="clear" w:color="DDEBF7" w:fill="DDEBF7"/>
            <w:noWrap/>
            <w:vAlign w:val="bottom"/>
            <w:hideMark/>
          </w:tcPr>
          <w:p w:rsidR="007875CB" w:rsidRPr="007875CB" w:rsidRDefault="002E29C1" w:rsidP="007875CB">
            <w:pPr>
              <w:autoSpaceDE/>
              <w:autoSpaceDN/>
              <w:adjustRightInd/>
              <w:spacing w:after="0"/>
              <w:jc w:val="left"/>
              <w:rPr>
                <w:rFonts w:ascii="Calibri" w:eastAsia="Times New Roman" w:hAnsi="Calibri" w:cs="Times New Roman"/>
                <w:bCs/>
                <w:sz w:val="18"/>
                <w:szCs w:val="22"/>
                <w:lang w:eastAsia="en-GB"/>
              </w:rPr>
            </w:pPr>
            <w:r w:rsidRPr="007875CB">
              <w:rPr>
                <w:rFonts w:ascii="Calibri" w:eastAsia="Times New Roman" w:hAnsi="Calibri" w:cs="Times New Roman"/>
                <w:bCs/>
                <w:sz w:val="18"/>
                <w:szCs w:val="22"/>
                <w:lang w:eastAsia="en-GB"/>
              </w:rPr>
              <w:t>TAMESIDE</w:t>
            </w:r>
          </w:p>
        </w:tc>
        <w:tc>
          <w:tcPr>
            <w:tcW w:w="430" w:type="pct"/>
            <w:shd w:val="clear" w:color="000000" w:fill="FB9373"/>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127</w:t>
            </w:r>
          </w:p>
        </w:tc>
        <w:tc>
          <w:tcPr>
            <w:tcW w:w="455" w:type="pct"/>
            <w:shd w:val="clear" w:color="000000" w:fill="F9796F"/>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142</w:t>
            </w:r>
          </w:p>
        </w:tc>
        <w:tc>
          <w:tcPr>
            <w:tcW w:w="485" w:type="pct"/>
            <w:shd w:val="clear" w:color="000000" w:fill="FB9373"/>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127</w:t>
            </w:r>
          </w:p>
        </w:tc>
        <w:tc>
          <w:tcPr>
            <w:tcW w:w="449" w:type="pct"/>
            <w:shd w:val="clear" w:color="000000" w:fill="FA8571"/>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135</w:t>
            </w:r>
          </w:p>
        </w:tc>
        <w:tc>
          <w:tcPr>
            <w:tcW w:w="502" w:type="pct"/>
            <w:shd w:val="clear" w:color="000000" w:fill="F9746D"/>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145</w:t>
            </w:r>
          </w:p>
        </w:tc>
        <w:tc>
          <w:tcPr>
            <w:tcW w:w="437" w:type="pct"/>
            <w:shd w:val="clear" w:color="000000" w:fill="FA8A72"/>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132</w:t>
            </w:r>
          </w:p>
        </w:tc>
        <w:tc>
          <w:tcPr>
            <w:tcW w:w="392" w:type="pct"/>
            <w:shd w:val="clear" w:color="000000" w:fill="FCA477"/>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117</w:t>
            </w:r>
          </w:p>
        </w:tc>
        <w:tc>
          <w:tcPr>
            <w:tcW w:w="469" w:type="pct"/>
            <w:shd w:val="clear" w:color="000000" w:fill="FA8C72"/>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131</w:t>
            </w:r>
          </w:p>
        </w:tc>
      </w:tr>
      <w:tr w:rsidR="00040D04" w:rsidTr="007875CB">
        <w:trPr>
          <w:trHeight w:val="20"/>
        </w:trPr>
        <w:tc>
          <w:tcPr>
            <w:tcW w:w="1381" w:type="pct"/>
            <w:shd w:val="clear" w:color="DDEBF7" w:fill="DDEBF7"/>
            <w:noWrap/>
            <w:vAlign w:val="bottom"/>
            <w:hideMark/>
          </w:tcPr>
          <w:p w:rsidR="007875CB" w:rsidRPr="007875CB" w:rsidRDefault="002E29C1" w:rsidP="007875CB">
            <w:pPr>
              <w:autoSpaceDE/>
              <w:autoSpaceDN/>
              <w:adjustRightInd/>
              <w:spacing w:after="0"/>
              <w:jc w:val="left"/>
              <w:rPr>
                <w:rFonts w:ascii="Calibri" w:eastAsia="Times New Roman" w:hAnsi="Calibri" w:cs="Times New Roman"/>
                <w:bCs/>
                <w:sz w:val="18"/>
                <w:szCs w:val="22"/>
                <w:lang w:eastAsia="en-GB"/>
              </w:rPr>
            </w:pPr>
            <w:r w:rsidRPr="007875CB">
              <w:rPr>
                <w:rFonts w:ascii="Calibri" w:eastAsia="Times New Roman" w:hAnsi="Calibri" w:cs="Times New Roman"/>
                <w:bCs/>
                <w:sz w:val="18"/>
                <w:szCs w:val="22"/>
                <w:lang w:eastAsia="en-GB"/>
              </w:rPr>
              <w:t>TRAFFORD</w:t>
            </w:r>
          </w:p>
        </w:tc>
        <w:tc>
          <w:tcPr>
            <w:tcW w:w="430" w:type="pct"/>
            <w:shd w:val="clear" w:color="000000" w:fill="F9796F"/>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142</w:t>
            </w:r>
          </w:p>
        </w:tc>
        <w:tc>
          <w:tcPr>
            <w:tcW w:w="455" w:type="pct"/>
            <w:shd w:val="clear" w:color="000000" w:fill="FA8971"/>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133</w:t>
            </w:r>
          </w:p>
        </w:tc>
        <w:tc>
          <w:tcPr>
            <w:tcW w:w="485" w:type="pct"/>
            <w:shd w:val="clear" w:color="000000" w:fill="FB9574"/>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126</w:t>
            </w:r>
          </w:p>
        </w:tc>
        <w:tc>
          <w:tcPr>
            <w:tcW w:w="449" w:type="pct"/>
            <w:shd w:val="clear" w:color="000000" w:fill="FB9073"/>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129</w:t>
            </w:r>
          </w:p>
        </w:tc>
        <w:tc>
          <w:tcPr>
            <w:tcW w:w="502" w:type="pct"/>
            <w:shd w:val="clear" w:color="000000" w:fill="F97B6F"/>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141</w:t>
            </w:r>
          </w:p>
        </w:tc>
        <w:tc>
          <w:tcPr>
            <w:tcW w:w="437" w:type="pct"/>
            <w:shd w:val="clear" w:color="000000" w:fill="F97B6F"/>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141</w:t>
            </w:r>
          </w:p>
        </w:tc>
        <w:tc>
          <w:tcPr>
            <w:tcW w:w="392" w:type="pct"/>
            <w:shd w:val="clear" w:color="000000" w:fill="F9776E"/>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143</w:t>
            </w:r>
          </w:p>
        </w:tc>
        <w:tc>
          <w:tcPr>
            <w:tcW w:w="469" w:type="pct"/>
            <w:shd w:val="clear" w:color="000000" w:fill="F9776E"/>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143</w:t>
            </w:r>
          </w:p>
        </w:tc>
      </w:tr>
      <w:tr w:rsidR="00040D04" w:rsidTr="007875CB">
        <w:trPr>
          <w:trHeight w:val="20"/>
        </w:trPr>
        <w:tc>
          <w:tcPr>
            <w:tcW w:w="1381" w:type="pct"/>
            <w:shd w:val="clear" w:color="DDEBF7" w:fill="DDEBF7"/>
            <w:noWrap/>
            <w:vAlign w:val="bottom"/>
            <w:hideMark/>
          </w:tcPr>
          <w:p w:rsidR="007875CB" w:rsidRPr="007875CB" w:rsidRDefault="002E29C1" w:rsidP="007875CB">
            <w:pPr>
              <w:autoSpaceDE/>
              <w:autoSpaceDN/>
              <w:adjustRightInd/>
              <w:spacing w:after="0"/>
              <w:jc w:val="left"/>
              <w:rPr>
                <w:rFonts w:ascii="Calibri" w:eastAsia="Times New Roman" w:hAnsi="Calibri" w:cs="Times New Roman"/>
                <w:bCs/>
                <w:sz w:val="18"/>
                <w:szCs w:val="22"/>
                <w:lang w:eastAsia="en-GB"/>
              </w:rPr>
            </w:pPr>
            <w:r w:rsidRPr="007875CB">
              <w:rPr>
                <w:rFonts w:ascii="Calibri" w:eastAsia="Times New Roman" w:hAnsi="Calibri" w:cs="Times New Roman"/>
                <w:bCs/>
                <w:sz w:val="18"/>
                <w:szCs w:val="22"/>
                <w:lang w:eastAsia="en-GB"/>
              </w:rPr>
              <w:t>WARRINGTON UA</w:t>
            </w:r>
          </w:p>
        </w:tc>
        <w:tc>
          <w:tcPr>
            <w:tcW w:w="430" w:type="pct"/>
            <w:shd w:val="clear" w:color="000000" w:fill="FDB97B"/>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105</w:t>
            </w:r>
          </w:p>
        </w:tc>
        <w:tc>
          <w:tcPr>
            <w:tcW w:w="455" w:type="pct"/>
            <w:shd w:val="clear" w:color="000000" w:fill="FEC77D"/>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97</w:t>
            </w:r>
          </w:p>
        </w:tc>
        <w:tc>
          <w:tcPr>
            <w:tcW w:w="485" w:type="pct"/>
            <w:shd w:val="clear" w:color="000000" w:fill="FA8270"/>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137</w:t>
            </w:r>
          </w:p>
        </w:tc>
        <w:tc>
          <w:tcPr>
            <w:tcW w:w="449" w:type="pct"/>
            <w:shd w:val="clear" w:color="000000" w:fill="FCA877"/>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115</w:t>
            </w:r>
          </w:p>
        </w:tc>
        <w:tc>
          <w:tcPr>
            <w:tcW w:w="502" w:type="pct"/>
            <w:shd w:val="clear" w:color="000000" w:fill="FB9373"/>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127</w:t>
            </w:r>
          </w:p>
        </w:tc>
        <w:tc>
          <w:tcPr>
            <w:tcW w:w="437" w:type="pct"/>
            <w:shd w:val="clear" w:color="000000" w:fill="FB9874"/>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124</w:t>
            </w:r>
          </w:p>
        </w:tc>
        <w:tc>
          <w:tcPr>
            <w:tcW w:w="392" w:type="pct"/>
            <w:shd w:val="clear" w:color="000000" w:fill="E1E282"/>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62</w:t>
            </w:r>
          </w:p>
        </w:tc>
        <w:tc>
          <w:tcPr>
            <w:tcW w:w="469" w:type="pct"/>
            <w:shd w:val="clear" w:color="000000" w:fill="CBDC81"/>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51</w:t>
            </w:r>
          </w:p>
        </w:tc>
      </w:tr>
      <w:tr w:rsidR="00040D04" w:rsidTr="007875CB">
        <w:trPr>
          <w:trHeight w:val="20"/>
        </w:trPr>
        <w:tc>
          <w:tcPr>
            <w:tcW w:w="1381" w:type="pct"/>
            <w:shd w:val="clear" w:color="DDEBF7" w:fill="DDEBF7"/>
            <w:noWrap/>
            <w:vAlign w:val="bottom"/>
            <w:hideMark/>
          </w:tcPr>
          <w:p w:rsidR="007875CB" w:rsidRPr="007875CB" w:rsidRDefault="002E29C1" w:rsidP="007875CB">
            <w:pPr>
              <w:autoSpaceDE/>
              <w:autoSpaceDN/>
              <w:adjustRightInd/>
              <w:spacing w:after="0"/>
              <w:jc w:val="left"/>
              <w:rPr>
                <w:rFonts w:ascii="Calibri" w:eastAsia="Times New Roman" w:hAnsi="Calibri" w:cs="Times New Roman"/>
                <w:bCs/>
                <w:sz w:val="18"/>
                <w:szCs w:val="22"/>
                <w:lang w:eastAsia="en-GB"/>
              </w:rPr>
            </w:pPr>
            <w:r w:rsidRPr="007875CB">
              <w:rPr>
                <w:rFonts w:ascii="Calibri" w:eastAsia="Times New Roman" w:hAnsi="Calibri" w:cs="Times New Roman"/>
                <w:bCs/>
                <w:sz w:val="18"/>
                <w:szCs w:val="22"/>
                <w:lang w:eastAsia="en-GB"/>
              </w:rPr>
              <w:t>WIGAN</w:t>
            </w:r>
          </w:p>
        </w:tc>
        <w:tc>
          <w:tcPr>
            <w:tcW w:w="430" w:type="pct"/>
            <w:shd w:val="clear" w:color="000000" w:fill="EAE582"/>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66</w:t>
            </w:r>
          </w:p>
        </w:tc>
        <w:tc>
          <w:tcPr>
            <w:tcW w:w="455" w:type="pct"/>
            <w:shd w:val="clear" w:color="000000" w:fill="BCD780"/>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44</w:t>
            </w:r>
          </w:p>
        </w:tc>
        <w:tc>
          <w:tcPr>
            <w:tcW w:w="485" w:type="pct"/>
            <w:shd w:val="clear" w:color="000000" w:fill="7BC57C"/>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13</w:t>
            </w:r>
          </w:p>
        </w:tc>
        <w:tc>
          <w:tcPr>
            <w:tcW w:w="449" w:type="pct"/>
            <w:shd w:val="clear" w:color="000000" w:fill="79C47C"/>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12</w:t>
            </w:r>
          </w:p>
        </w:tc>
        <w:tc>
          <w:tcPr>
            <w:tcW w:w="502" w:type="pct"/>
            <w:shd w:val="clear" w:color="000000" w:fill="82C77C"/>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16</w:t>
            </w:r>
          </w:p>
        </w:tc>
        <w:tc>
          <w:tcPr>
            <w:tcW w:w="437" w:type="pct"/>
            <w:shd w:val="clear" w:color="000000" w:fill="A1D07E"/>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31</w:t>
            </w:r>
          </w:p>
        </w:tc>
        <w:tc>
          <w:tcPr>
            <w:tcW w:w="392" w:type="pct"/>
            <w:shd w:val="clear" w:color="000000" w:fill="90CB7D"/>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23</w:t>
            </w:r>
          </w:p>
        </w:tc>
        <w:tc>
          <w:tcPr>
            <w:tcW w:w="469" w:type="pct"/>
            <w:shd w:val="clear" w:color="000000" w:fill="82C77C"/>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16</w:t>
            </w:r>
          </w:p>
        </w:tc>
      </w:tr>
      <w:tr w:rsidR="00040D04" w:rsidTr="007875CB">
        <w:trPr>
          <w:trHeight w:val="20"/>
        </w:trPr>
        <w:tc>
          <w:tcPr>
            <w:tcW w:w="1381" w:type="pct"/>
            <w:shd w:val="clear" w:color="DDEBF7" w:fill="DDEBF7"/>
            <w:noWrap/>
            <w:vAlign w:val="bottom"/>
            <w:hideMark/>
          </w:tcPr>
          <w:p w:rsidR="007875CB" w:rsidRPr="007875CB" w:rsidRDefault="002E29C1" w:rsidP="007875CB">
            <w:pPr>
              <w:autoSpaceDE/>
              <w:autoSpaceDN/>
              <w:adjustRightInd/>
              <w:spacing w:after="0"/>
              <w:jc w:val="left"/>
              <w:rPr>
                <w:rFonts w:ascii="Calibri" w:eastAsia="Times New Roman" w:hAnsi="Calibri" w:cs="Times New Roman"/>
                <w:bCs/>
                <w:sz w:val="18"/>
                <w:szCs w:val="22"/>
                <w:lang w:eastAsia="en-GB"/>
              </w:rPr>
            </w:pPr>
            <w:r w:rsidRPr="007875CB">
              <w:rPr>
                <w:rFonts w:ascii="Calibri" w:eastAsia="Times New Roman" w:hAnsi="Calibri" w:cs="Times New Roman"/>
                <w:bCs/>
                <w:sz w:val="18"/>
                <w:szCs w:val="22"/>
                <w:lang w:eastAsia="en-GB"/>
              </w:rPr>
              <w:t>WIRRAL</w:t>
            </w:r>
          </w:p>
        </w:tc>
        <w:tc>
          <w:tcPr>
            <w:tcW w:w="430" w:type="pct"/>
            <w:shd w:val="clear" w:color="000000" w:fill="A1D07E"/>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31</w:t>
            </w:r>
          </w:p>
        </w:tc>
        <w:tc>
          <w:tcPr>
            <w:tcW w:w="455" w:type="pct"/>
            <w:shd w:val="clear" w:color="000000" w:fill="A1D07E"/>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31</w:t>
            </w:r>
          </w:p>
        </w:tc>
        <w:tc>
          <w:tcPr>
            <w:tcW w:w="485" w:type="pct"/>
            <w:shd w:val="clear" w:color="000000" w:fill="92CB7D"/>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24</w:t>
            </w:r>
          </w:p>
        </w:tc>
        <w:tc>
          <w:tcPr>
            <w:tcW w:w="449" w:type="pct"/>
            <w:shd w:val="clear" w:color="000000" w:fill="A5D17E"/>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33</w:t>
            </w:r>
          </w:p>
        </w:tc>
        <w:tc>
          <w:tcPr>
            <w:tcW w:w="502" w:type="pct"/>
            <w:shd w:val="clear" w:color="000000" w:fill="F2E783"/>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70</w:t>
            </w:r>
          </w:p>
        </w:tc>
        <w:tc>
          <w:tcPr>
            <w:tcW w:w="437" w:type="pct"/>
            <w:shd w:val="clear" w:color="000000" w:fill="BAD780"/>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43</w:t>
            </w:r>
          </w:p>
        </w:tc>
        <w:tc>
          <w:tcPr>
            <w:tcW w:w="392" w:type="pct"/>
            <w:shd w:val="clear" w:color="000000" w:fill="F4E883"/>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71</w:t>
            </w:r>
          </w:p>
        </w:tc>
        <w:tc>
          <w:tcPr>
            <w:tcW w:w="469" w:type="pct"/>
            <w:shd w:val="clear" w:color="000000" w:fill="E3E382"/>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63</w:t>
            </w:r>
          </w:p>
        </w:tc>
      </w:tr>
    </w:tbl>
    <w:p w:rsidR="007875CB" w:rsidRPr="00BE3267" w:rsidRDefault="00AC7EBD" w:rsidP="009837A1">
      <w:pPr>
        <w:spacing w:after="60" w:line="259" w:lineRule="auto"/>
        <w:rPr>
          <w:rFonts w:cs="Arial"/>
          <w:b/>
          <w:sz w:val="14"/>
        </w:rPr>
      </w:pPr>
    </w:p>
    <w:p w:rsidR="00CC540F" w:rsidRPr="00BE3267" w:rsidRDefault="00AC7EBD" w:rsidP="00500F9E">
      <w:pPr>
        <w:spacing w:after="0" w:line="259" w:lineRule="auto"/>
        <w:rPr>
          <w:rFonts w:cs="Arial"/>
          <w:b/>
          <w:sz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769"/>
        <w:gridCol w:w="814"/>
        <w:gridCol w:w="868"/>
        <w:gridCol w:w="803"/>
        <w:gridCol w:w="899"/>
        <w:gridCol w:w="781"/>
        <w:gridCol w:w="701"/>
        <w:gridCol w:w="840"/>
      </w:tblGrid>
      <w:tr w:rsidR="00040D04" w:rsidTr="007875CB">
        <w:trPr>
          <w:trHeight w:val="20"/>
        </w:trPr>
        <w:tc>
          <w:tcPr>
            <w:tcW w:w="1381" w:type="pct"/>
            <w:shd w:val="clear" w:color="auto" w:fill="auto"/>
            <w:noWrap/>
            <w:vAlign w:val="bottom"/>
            <w:hideMark/>
          </w:tcPr>
          <w:p w:rsidR="007875CB" w:rsidRPr="007875CB" w:rsidRDefault="00AC7EBD" w:rsidP="007875CB">
            <w:pPr>
              <w:autoSpaceDE/>
              <w:autoSpaceDN/>
              <w:adjustRightInd/>
              <w:spacing w:after="0"/>
              <w:jc w:val="left"/>
              <w:rPr>
                <w:rFonts w:ascii="Times New Roman" w:eastAsia="Times New Roman" w:hAnsi="Times New Roman" w:cs="Times New Roman"/>
                <w:color w:val="auto"/>
                <w:sz w:val="20"/>
                <w:szCs w:val="20"/>
                <w:lang w:eastAsia="en-GB"/>
              </w:rPr>
            </w:pPr>
          </w:p>
        </w:tc>
        <w:tc>
          <w:tcPr>
            <w:tcW w:w="3619" w:type="pct"/>
            <w:gridSpan w:val="8"/>
            <w:shd w:val="clear" w:color="000000" w:fill="FFFF00"/>
            <w:noWrap/>
            <w:vAlign w:val="bottom"/>
            <w:hideMark/>
          </w:tcPr>
          <w:p w:rsidR="007875CB" w:rsidRPr="007875CB" w:rsidRDefault="002E29C1" w:rsidP="007875CB">
            <w:pPr>
              <w:autoSpaceDE/>
              <w:autoSpaceDN/>
              <w:adjustRightInd/>
              <w:spacing w:after="0"/>
              <w:jc w:val="center"/>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Rank Social Care per day per 100,000 18+ population</w:t>
            </w:r>
          </w:p>
        </w:tc>
      </w:tr>
      <w:tr w:rsidR="00040D04" w:rsidTr="007875CB">
        <w:trPr>
          <w:trHeight w:val="20"/>
        </w:trPr>
        <w:tc>
          <w:tcPr>
            <w:tcW w:w="1381" w:type="pct"/>
            <w:shd w:val="clear" w:color="5B9BD5" w:fill="5B9BD5"/>
            <w:noWrap/>
            <w:vAlign w:val="bottom"/>
            <w:hideMark/>
          </w:tcPr>
          <w:p w:rsidR="007875CB" w:rsidRPr="007875CB" w:rsidRDefault="002E29C1" w:rsidP="007875CB">
            <w:pPr>
              <w:autoSpaceDE/>
              <w:autoSpaceDN/>
              <w:adjustRightInd/>
              <w:spacing w:after="0"/>
              <w:jc w:val="left"/>
              <w:rPr>
                <w:rFonts w:ascii="Calibri" w:eastAsia="Times New Roman" w:hAnsi="Calibri" w:cs="Times New Roman"/>
                <w:b/>
                <w:bCs/>
                <w:color w:val="FFFFFF"/>
                <w:sz w:val="20"/>
                <w:szCs w:val="22"/>
                <w:lang w:eastAsia="en-GB"/>
              </w:rPr>
            </w:pPr>
            <w:r w:rsidRPr="007875CB">
              <w:rPr>
                <w:rFonts w:ascii="Calibri" w:eastAsia="Times New Roman" w:hAnsi="Calibri" w:cs="Times New Roman"/>
                <w:b/>
                <w:bCs/>
                <w:color w:val="FFFFFF"/>
                <w:sz w:val="20"/>
                <w:szCs w:val="22"/>
                <w:lang w:eastAsia="en-GB"/>
              </w:rPr>
              <w:t>Local Authority Name</w:t>
            </w:r>
          </w:p>
        </w:tc>
        <w:tc>
          <w:tcPr>
            <w:tcW w:w="430" w:type="pct"/>
            <w:shd w:val="clear" w:color="auto" w:fill="auto"/>
            <w:noWrap/>
            <w:vAlign w:val="bottom"/>
            <w:hideMark/>
          </w:tcPr>
          <w:p w:rsidR="007875CB" w:rsidRPr="007875CB" w:rsidRDefault="002E29C1" w:rsidP="007875CB">
            <w:pPr>
              <w:autoSpaceDE/>
              <w:autoSpaceDN/>
              <w:adjustRightInd/>
              <w:spacing w:after="0"/>
              <w:jc w:val="center"/>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Jan-18</w:t>
            </w:r>
          </w:p>
        </w:tc>
        <w:tc>
          <w:tcPr>
            <w:tcW w:w="455" w:type="pct"/>
            <w:shd w:val="clear" w:color="auto" w:fill="auto"/>
            <w:noWrap/>
            <w:vAlign w:val="bottom"/>
            <w:hideMark/>
          </w:tcPr>
          <w:p w:rsidR="007875CB" w:rsidRPr="007875CB" w:rsidRDefault="002E29C1" w:rsidP="007875CB">
            <w:pPr>
              <w:autoSpaceDE/>
              <w:autoSpaceDN/>
              <w:adjustRightInd/>
              <w:spacing w:after="0"/>
              <w:jc w:val="center"/>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Feb-18</w:t>
            </w:r>
          </w:p>
        </w:tc>
        <w:tc>
          <w:tcPr>
            <w:tcW w:w="485" w:type="pct"/>
            <w:shd w:val="clear" w:color="auto" w:fill="auto"/>
            <w:noWrap/>
            <w:vAlign w:val="bottom"/>
            <w:hideMark/>
          </w:tcPr>
          <w:p w:rsidR="007875CB" w:rsidRPr="007875CB" w:rsidRDefault="002E29C1" w:rsidP="007875CB">
            <w:pPr>
              <w:autoSpaceDE/>
              <w:autoSpaceDN/>
              <w:adjustRightInd/>
              <w:spacing w:after="0"/>
              <w:jc w:val="center"/>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Mar-18</w:t>
            </w:r>
          </w:p>
        </w:tc>
        <w:tc>
          <w:tcPr>
            <w:tcW w:w="449" w:type="pct"/>
            <w:shd w:val="clear" w:color="auto" w:fill="auto"/>
            <w:noWrap/>
            <w:vAlign w:val="bottom"/>
            <w:hideMark/>
          </w:tcPr>
          <w:p w:rsidR="007875CB" w:rsidRPr="007875CB" w:rsidRDefault="002E29C1" w:rsidP="007875CB">
            <w:pPr>
              <w:autoSpaceDE/>
              <w:autoSpaceDN/>
              <w:adjustRightInd/>
              <w:spacing w:after="0"/>
              <w:jc w:val="center"/>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Apr-18</w:t>
            </w:r>
          </w:p>
        </w:tc>
        <w:tc>
          <w:tcPr>
            <w:tcW w:w="502" w:type="pct"/>
            <w:shd w:val="clear" w:color="auto" w:fill="auto"/>
            <w:noWrap/>
            <w:vAlign w:val="bottom"/>
            <w:hideMark/>
          </w:tcPr>
          <w:p w:rsidR="007875CB" w:rsidRPr="007875CB" w:rsidRDefault="002E29C1" w:rsidP="007875CB">
            <w:pPr>
              <w:autoSpaceDE/>
              <w:autoSpaceDN/>
              <w:adjustRightInd/>
              <w:spacing w:after="0"/>
              <w:jc w:val="center"/>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May-18</w:t>
            </w:r>
          </w:p>
        </w:tc>
        <w:tc>
          <w:tcPr>
            <w:tcW w:w="437" w:type="pct"/>
            <w:shd w:val="clear" w:color="auto" w:fill="auto"/>
            <w:noWrap/>
            <w:vAlign w:val="bottom"/>
            <w:hideMark/>
          </w:tcPr>
          <w:p w:rsidR="007875CB" w:rsidRPr="007875CB" w:rsidRDefault="002E29C1" w:rsidP="007875CB">
            <w:pPr>
              <w:autoSpaceDE/>
              <w:autoSpaceDN/>
              <w:adjustRightInd/>
              <w:spacing w:after="0"/>
              <w:jc w:val="center"/>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Jun-18</w:t>
            </w:r>
          </w:p>
        </w:tc>
        <w:tc>
          <w:tcPr>
            <w:tcW w:w="392" w:type="pct"/>
            <w:shd w:val="clear" w:color="auto" w:fill="auto"/>
            <w:noWrap/>
            <w:vAlign w:val="bottom"/>
            <w:hideMark/>
          </w:tcPr>
          <w:p w:rsidR="007875CB" w:rsidRPr="007875CB" w:rsidRDefault="002E29C1" w:rsidP="007875CB">
            <w:pPr>
              <w:autoSpaceDE/>
              <w:autoSpaceDN/>
              <w:adjustRightInd/>
              <w:spacing w:after="0"/>
              <w:jc w:val="center"/>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Jul-18</w:t>
            </w:r>
          </w:p>
        </w:tc>
        <w:tc>
          <w:tcPr>
            <w:tcW w:w="469" w:type="pct"/>
            <w:shd w:val="clear" w:color="auto" w:fill="auto"/>
            <w:noWrap/>
            <w:vAlign w:val="bottom"/>
            <w:hideMark/>
          </w:tcPr>
          <w:p w:rsidR="007875CB" w:rsidRPr="007875CB" w:rsidRDefault="002E29C1" w:rsidP="007875CB">
            <w:pPr>
              <w:autoSpaceDE/>
              <w:autoSpaceDN/>
              <w:adjustRightInd/>
              <w:spacing w:after="0"/>
              <w:jc w:val="center"/>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Aug-18</w:t>
            </w:r>
          </w:p>
        </w:tc>
      </w:tr>
      <w:tr w:rsidR="00040D04" w:rsidTr="007875CB">
        <w:trPr>
          <w:trHeight w:val="20"/>
        </w:trPr>
        <w:tc>
          <w:tcPr>
            <w:tcW w:w="1381" w:type="pct"/>
            <w:shd w:val="clear" w:color="DDEBF7" w:fill="DDEBF7"/>
            <w:noWrap/>
            <w:vAlign w:val="bottom"/>
            <w:hideMark/>
          </w:tcPr>
          <w:p w:rsidR="007875CB" w:rsidRPr="007875CB" w:rsidRDefault="002E29C1" w:rsidP="007875CB">
            <w:pPr>
              <w:autoSpaceDE/>
              <w:autoSpaceDN/>
              <w:adjustRightInd/>
              <w:spacing w:after="0"/>
              <w:jc w:val="left"/>
              <w:rPr>
                <w:rFonts w:ascii="Calibri" w:eastAsia="Times New Roman" w:hAnsi="Calibri" w:cs="Times New Roman"/>
                <w:bCs/>
                <w:sz w:val="18"/>
                <w:szCs w:val="22"/>
                <w:lang w:eastAsia="en-GB"/>
              </w:rPr>
            </w:pPr>
            <w:r w:rsidRPr="007875CB">
              <w:rPr>
                <w:rFonts w:ascii="Calibri" w:eastAsia="Times New Roman" w:hAnsi="Calibri" w:cs="Times New Roman"/>
                <w:bCs/>
                <w:sz w:val="18"/>
                <w:szCs w:val="22"/>
                <w:lang w:eastAsia="en-GB"/>
              </w:rPr>
              <w:t>BLACKBURN WITH DARWEN UA</w:t>
            </w:r>
          </w:p>
        </w:tc>
        <w:tc>
          <w:tcPr>
            <w:tcW w:w="430" w:type="pct"/>
            <w:shd w:val="clear" w:color="000000" w:fill="FFDC81"/>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85</w:t>
            </w:r>
          </w:p>
        </w:tc>
        <w:tc>
          <w:tcPr>
            <w:tcW w:w="455" w:type="pct"/>
            <w:shd w:val="clear" w:color="000000" w:fill="FDBD7C"/>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103</w:t>
            </w:r>
          </w:p>
        </w:tc>
        <w:tc>
          <w:tcPr>
            <w:tcW w:w="485" w:type="pct"/>
            <w:shd w:val="clear" w:color="000000" w:fill="FFE583"/>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80</w:t>
            </w:r>
          </w:p>
        </w:tc>
        <w:tc>
          <w:tcPr>
            <w:tcW w:w="449" w:type="pct"/>
            <w:shd w:val="clear" w:color="000000" w:fill="FEC97E"/>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96</w:t>
            </w:r>
          </w:p>
        </w:tc>
        <w:tc>
          <w:tcPr>
            <w:tcW w:w="502" w:type="pct"/>
            <w:shd w:val="clear" w:color="000000" w:fill="FED781"/>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88</w:t>
            </w:r>
          </w:p>
        </w:tc>
        <w:tc>
          <w:tcPr>
            <w:tcW w:w="437" w:type="pct"/>
            <w:shd w:val="clear" w:color="000000" w:fill="FCA677"/>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116</w:t>
            </w:r>
          </w:p>
        </w:tc>
        <w:tc>
          <w:tcPr>
            <w:tcW w:w="392" w:type="pct"/>
            <w:shd w:val="clear" w:color="000000" w:fill="FB9373"/>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127</w:t>
            </w:r>
          </w:p>
        </w:tc>
        <w:tc>
          <w:tcPr>
            <w:tcW w:w="469" w:type="pct"/>
            <w:shd w:val="clear" w:color="000000" w:fill="F9746D"/>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145</w:t>
            </w:r>
          </w:p>
        </w:tc>
      </w:tr>
      <w:tr w:rsidR="00040D04" w:rsidTr="007875CB">
        <w:trPr>
          <w:trHeight w:val="20"/>
        </w:trPr>
        <w:tc>
          <w:tcPr>
            <w:tcW w:w="1381" w:type="pct"/>
            <w:shd w:val="clear" w:color="DDEBF7" w:fill="DDEBF7"/>
            <w:noWrap/>
            <w:vAlign w:val="bottom"/>
            <w:hideMark/>
          </w:tcPr>
          <w:p w:rsidR="007875CB" w:rsidRPr="007875CB" w:rsidRDefault="002E29C1" w:rsidP="007875CB">
            <w:pPr>
              <w:autoSpaceDE/>
              <w:autoSpaceDN/>
              <w:adjustRightInd/>
              <w:spacing w:after="0"/>
              <w:jc w:val="left"/>
              <w:rPr>
                <w:rFonts w:ascii="Calibri" w:eastAsia="Times New Roman" w:hAnsi="Calibri" w:cs="Times New Roman"/>
                <w:bCs/>
                <w:sz w:val="18"/>
                <w:szCs w:val="22"/>
                <w:lang w:eastAsia="en-GB"/>
              </w:rPr>
            </w:pPr>
            <w:r w:rsidRPr="007875CB">
              <w:rPr>
                <w:rFonts w:ascii="Calibri" w:eastAsia="Times New Roman" w:hAnsi="Calibri" w:cs="Times New Roman"/>
                <w:bCs/>
                <w:sz w:val="18"/>
                <w:szCs w:val="22"/>
                <w:lang w:eastAsia="en-GB"/>
              </w:rPr>
              <w:t>BLACKPOOL UA</w:t>
            </w:r>
          </w:p>
        </w:tc>
        <w:tc>
          <w:tcPr>
            <w:tcW w:w="430" w:type="pct"/>
            <w:shd w:val="clear" w:color="000000" w:fill="FCB27A"/>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109</w:t>
            </w:r>
          </w:p>
        </w:tc>
        <w:tc>
          <w:tcPr>
            <w:tcW w:w="455" w:type="pct"/>
            <w:shd w:val="clear" w:color="000000" w:fill="FDB97B"/>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105</w:t>
            </w:r>
          </w:p>
        </w:tc>
        <w:tc>
          <w:tcPr>
            <w:tcW w:w="485" w:type="pct"/>
            <w:shd w:val="clear" w:color="000000" w:fill="FA8771"/>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134</w:t>
            </w:r>
          </w:p>
        </w:tc>
        <w:tc>
          <w:tcPr>
            <w:tcW w:w="449" w:type="pct"/>
            <w:shd w:val="clear" w:color="000000" w:fill="FA8E72"/>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130</w:t>
            </w:r>
          </w:p>
        </w:tc>
        <w:tc>
          <w:tcPr>
            <w:tcW w:w="502" w:type="pct"/>
            <w:shd w:val="clear" w:color="000000" w:fill="FA8771"/>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134</w:t>
            </w:r>
          </w:p>
        </w:tc>
        <w:tc>
          <w:tcPr>
            <w:tcW w:w="437" w:type="pct"/>
            <w:shd w:val="clear" w:color="000000" w:fill="FA8C72"/>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131</w:t>
            </w:r>
          </w:p>
        </w:tc>
        <w:tc>
          <w:tcPr>
            <w:tcW w:w="392" w:type="pct"/>
            <w:shd w:val="clear" w:color="000000" w:fill="FA8A72"/>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132</w:t>
            </w:r>
          </w:p>
        </w:tc>
        <w:tc>
          <w:tcPr>
            <w:tcW w:w="469" w:type="pct"/>
            <w:shd w:val="clear" w:color="000000" w:fill="FBA176"/>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119</w:t>
            </w:r>
          </w:p>
        </w:tc>
      </w:tr>
      <w:tr w:rsidR="00040D04" w:rsidTr="007875CB">
        <w:trPr>
          <w:trHeight w:val="20"/>
        </w:trPr>
        <w:tc>
          <w:tcPr>
            <w:tcW w:w="1381" w:type="pct"/>
            <w:shd w:val="clear" w:color="DDEBF7" w:fill="DDEBF7"/>
            <w:noWrap/>
            <w:vAlign w:val="bottom"/>
            <w:hideMark/>
          </w:tcPr>
          <w:p w:rsidR="007875CB" w:rsidRPr="007875CB" w:rsidRDefault="002E29C1" w:rsidP="007875CB">
            <w:pPr>
              <w:autoSpaceDE/>
              <w:autoSpaceDN/>
              <w:adjustRightInd/>
              <w:spacing w:after="0"/>
              <w:jc w:val="left"/>
              <w:rPr>
                <w:rFonts w:ascii="Calibri" w:eastAsia="Times New Roman" w:hAnsi="Calibri" w:cs="Times New Roman"/>
                <w:bCs/>
                <w:sz w:val="18"/>
                <w:szCs w:val="22"/>
                <w:lang w:eastAsia="en-GB"/>
              </w:rPr>
            </w:pPr>
            <w:r w:rsidRPr="007875CB">
              <w:rPr>
                <w:rFonts w:ascii="Calibri" w:eastAsia="Times New Roman" w:hAnsi="Calibri" w:cs="Times New Roman"/>
                <w:bCs/>
                <w:sz w:val="18"/>
                <w:szCs w:val="22"/>
                <w:lang w:eastAsia="en-GB"/>
              </w:rPr>
              <w:t>BOLTON</w:t>
            </w:r>
          </w:p>
        </w:tc>
        <w:tc>
          <w:tcPr>
            <w:tcW w:w="430" w:type="pct"/>
            <w:shd w:val="clear" w:color="000000" w:fill="FB9373"/>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127</w:t>
            </w:r>
          </w:p>
        </w:tc>
        <w:tc>
          <w:tcPr>
            <w:tcW w:w="455" w:type="pct"/>
            <w:shd w:val="clear" w:color="000000" w:fill="FB9574"/>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126</w:t>
            </w:r>
          </w:p>
        </w:tc>
        <w:tc>
          <w:tcPr>
            <w:tcW w:w="485" w:type="pct"/>
            <w:shd w:val="clear" w:color="000000" w:fill="FB9073"/>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129</w:t>
            </w:r>
          </w:p>
        </w:tc>
        <w:tc>
          <w:tcPr>
            <w:tcW w:w="449" w:type="pct"/>
            <w:shd w:val="clear" w:color="000000" w:fill="FECB7E"/>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95</w:t>
            </w:r>
          </w:p>
        </w:tc>
        <w:tc>
          <w:tcPr>
            <w:tcW w:w="502" w:type="pct"/>
            <w:shd w:val="clear" w:color="000000" w:fill="FB9574"/>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126</w:t>
            </w:r>
          </w:p>
        </w:tc>
        <w:tc>
          <w:tcPr>
            <w:tcW w:w="437" w:type="pct"/>
            <w:shd w:val="clear" w:color="000000" w:fill="FDB47A"/>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108</w:t>
            </w:r>
          </w:p>
        </w:tc>
        <w:tc>
          <w:tcPr>
            <w:tcW w:w="392" w:type="pct"/>
            <w:shd w:val="clear" w:color="000000" w:fill="EAE582"/>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66</w:t>
            </w:r>
          </w:p>
        </w:tc>
        <w:tc>
          <w:tcPr>
            <w:tcW w:w="469" w:type="pct"/>
            <w:shd w:val="clear" w:color="000000" w:fill="FCB179"/>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110</w:t>
            </w:r>
          </w:p>
        </w:tc>
      </w:tr>
      <w:tr w:rsidR="00040D04" w:rsidTr="007875CB">
        <w:trPr>
          <w:trHeight w:val="20"/>
        </w:trPr>
        <w:tc>
          <w:tcPr>
            <w:tcW w:w="1381" w:type="pct"/>
            <w:shd w:val="clear" w:color="DDEBF7" w:fill="DDEBF7"/>
            <w:noWrap/>
            <w:vAlign w:val="bottom"/>
            <w:hideMark/>
          </w:tcPr>
          <w:p w:rsidR="007875CB" w:rsidRPr="007875CB" w:rsidRDefault="002E29C1" w:rsidP="007875CB">
            <w:pPr>
              <w:autoSpaceDE/>
              <w:autoSpaceDN/>
              <w:adjustRightInd/>
              <w:spacing w:after="0"/>
              <w:jc w:val="left"/>
              <w:rPr>
                <w:rFonts w:ascii="Calibri" w:eastAsia="Times New Roman" w:hAnsi="Calibri" w:cs="Times New Roman"/>
                <w:bCs/>
                <w:sz w:val="18"/>
                <w:szCs w:val="22"/>
                <w:lang w:eastAsia="en-GB"/>
              </w:rPr>
            </w:pPr>
            <w:r w:rsidRPr="007875CB">
              <w:rPr>
                <w:rFonts w:ascii="Calibri" w:eastAsia="Times New Roman" w:hAnsi="Calibri" w:cs="Times New Roman"/>
                <w:bCs/>
                <w:sz w:val="18"/>
                <w:szCs w:val="22"/>
                <w:lang w:eastAsia="en-GB"/>
              </w:rPr>
              <w:t>BURY</w:t>
            </w:r>
          </w:p>
        </w:tc>
        <w:tc>
          <w:tcPr>
            <w:tcW w:w="430" w:type="pct"/>
            <w:shd w:val="clear" w:color="000000" w:fill="F9726D"/>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146</w:t>
            </w:r>
          </w:p>
        </w:tc>
        <w:tc>
          <w:tcPr>
            <w:tcW w:w="455" w:type="pct"/>
            <w:shd w:val="clear" w:color="000000" w:fill="F9706D"/>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147</w:t>
            </w:r>
          </w:p>
        </w:tc>
        <w:tc>
          <w:tcPr>
            <w:tcW w:w="485" w:type="pct"/>
            <w:shd w:val="clear" w:color="000000" w:fill="F9766E"/>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144</w:t>
            </w:r>
          </w:p>
        </w:tc>
        <w:tc>
          <w:tcPr>
            <w:tcW w:w="449" w:type="pct"/>
            <w:shd w:val="clear" w:color="000000" w:fill="FA8270"/>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137</w:t>
            </w:r>
          </w:p>
        </w:tc>
        <w:tc>
          <w:tcPr>
            <w:tcW w:w="502" w:type="pct"/>
            <w:shd w:val="clear" w:color="000000" w:fill="FA7E70"/>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139</w:t>
            </w:r>
          </w:p>
        </w:tc>
        <w:tc>
          <w:tcPr>
            <w:tcW w:w="437" w:type="pct"/>
            <w:shd w:val="clear" w:color="000000" w:fill="FA8571"/>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135</w:t>
            </w:r>
          </w:p>
        </w:tc>
        <w:tc>
          <w:tcPr>
            <w:tcW w:w="392" w:type="pct"/>
            <w:shd w:val="clear" w:color="000000" w:fill="FA7D6F"/>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140</w:t>
            </w:r>
          </w:p>
        </w:tc>
        <w:tc>
          <w:tcPr>
            <w:tcW w:w="469" w:type="pct"/>
            <w:shd w:val="clear" w:color="000000" w:fill="F9776E"/>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143</w:t>
            </w:r>
          </w:p>
        </w:tc>
      </w:tr>
      <w:tr w:rsidR="00040D04" w:rsidTr="007875CB">
        <w:trPr>
          <w:trHeight w:val="20"/>
        </w:trPr>
        <w:tc>
          <w:tcPr>
            <w:tcW w:w="1381" w:type="pct"/>
            <w:shd w:val="clear" w:color="DDEBF7" w:fill="DDEBF7"/>
            <w:noWrap/>
            <w:vAlign w:val="bottom"/>
            <w:hideMark/>
          </w:tcPr>
          <w:p w:rsidR="007875CB" w:rsidRPr="007875CB" w:rsidRDefault="002E29C1" w:rsidP="007875CB">
            <w:pPr>
              <w:autoSpaceDE/>
              <w:autoSpaceDN/>
              <w:adjustRightInd/>
              <w:spacing w:after="0"/>
              <w:jc w:val="left"/>
              <w:rPr>
                <w:rFonts w:ascii="Calibri" w:eastAsia="Times New Roman" w:hAnsi="Calibri" w:cs="Times New Roman"/>
                <w:bCs/>
                <w:sz w:val="18"/>
                <w:szCs w:val="22"/>
                <w:lang w:eastAsia="en-GB"/>
              </w:rPr>
            </w:pPr>
            <w:r w:rsidRPr="007875CB">
              <w:rPr>
                <w:rFonts w:ascii="Calibri" w:eastAsia="Times New Roman" w:hAnsi="Calibri" w:cs="Times New Roman"/>
                <w:bCs/>
                <w:sz w:val="18"/>
                <w:szCs w:val="22"/>
                <w:lang w:eastAsia="en-GB"/>
              </w:rPr>
              <w:t>CHESHIRE EAST</w:t>
            </w:r>
          </w:p>
        </w:tc>
        <w:tc>
          <w:tcPr>
            <w:tcW w:w="430" w:type="pct"/>
            <w:shd w:val="clear" w:color="000000" w:fill="FED280"/>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91</w:t>
            </w:r>
          </w:p>
        </w:tc>
        <w:tc>
          <w:tcPr>
            <w:tcW w:w="455" w:type="pct"/>
            <w:shd w:val="clear" w:color="000000" w:fill="FDC27C"/>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100</w:t>
            </w:r>
          </w:p>
        </w:tc>
        <w:tc>
          <w:tcPr>
            <w:tcW w:w="485" w:type="pct"/>
            <w:shd w:val="clear" w:color="000000" w:fill="FED380"/>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90</w:t>
            </w:r>
          </w:p>
        </w:tc>
        <w:tc>
          <w:tcPr>
            <w:tcW w:w="449" w:type="pct"/>
            <w:shd w:val="clear" w:color="000000" w:fill="FED07F"/>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92</w:t>
            </w:r>
          </w:p>
        </w:tc>
        <w:tc>
          <w:tcPr>
            <w:tcW w:w="502" w:type="pct"/>
            <w:shd w:val="clear" w:color="000000" w:fill="FCAD78"/>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112</w:t>
            </w:r>
          </w:p>
        </w:tc>
        <w:tc>
          <w:tcPr>
            <w:tcW w:w="437" w:type="pct"/>
            <w:shd w:val="clear" w:color="000000" w:fill="FCB179"/>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110</w:t>
            </w:r>
          </w:p>
        </w:tc>
        <w:tc>
          <w:tcPr>
            <w:tcW w:w="392" w:type="pct"/>
            <w:shd w:val="clear" w:color="000000" w:fill="FB9774"/>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125</w:t>
            </w:r>
          </w:p>
        </w:tc>
        <w:tc>
          <w:tcPr>
            <w:tcW w:w="469" w:type="pct"/>
            <w:shd w:val="clear" w:color="000000" w:fill="FDB67A"/>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107</w:t>
            </w:r>
          </w:p>
        </w:tc>
      </w:tr>
      <w:tr w:rsidR="00040D04" w:rsidTr="007875CB">
        <w:trPr>
          <w:trHeight w:val="20"/>
        </w:trPr>
        <w:tc>
          <w:tcPr>
            <w:tcW w:w="1381" w:type="pct"/>
            <w:shd w:val="clear" w:color="DDEBF7" w:fill="DDEBF7"/>
            <w:noWrap/>
            <w:vAlign w:val="bottom"/>
            <w:hideMark/>
          </w:tcPr>
          <w:p w:rsidR="007875CB" w:rsidRPr="007875CB" w:rsidRDefault="002E29C1" w:rsidP="007875CB">
            <w:pPr>
              <w:autoSpaceDE/>
              <w:autoSpaceDN/>
              <w:adjustRightInd/>
              <w:spacing w:after="0"/>
              <w:jc w:val="left"/>
              <w:rPr>
                <w:rFonts w:ascii="Calibri" w:eastAsia="Times New Roman" w:hAnsi="Calibri" w:cs="Times New Roman"/>
                <w:bCs/>
                <w:sz w:val="18"/>
                <w:szCs w:val="22"/>
                <w:lang w:eastAsia="en-GB"/>
              </w:rPr>
            </w:pPr>
            <w:r w:rsidRPr="007875CB">
              <w:rPr>
                <w:rFonts w:ascii="Calibri" w:eastAsia="Times New Roman" w:hAnsi="Calibri" w:cs="Times New Roman"/>
                <w:bCs/>
                <w:sz w:val="18"/>
                <w:szCs w:val="22"/>
                <w:lang w:eastAsia="en-GB"/>
              </w:rPr>
              <w:t>CHESHIRE WEST AND CHESTER</w:t>
            </w:r>
          </w:p>
        </w:tc>
        <w:tc>
          <w:tcPr>
            <w:tcW w:w="430" w:type="pct"/>
            <w:shd w:val="clear" w:color="000000" w:fill="FED380"/>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90</w:t>
            </w:r>
          </w:p>
        </w:tc>
        <w:tc>
          <w:tcPr>
            <w:tcW w:w="455" w:type="pct"/>
            <w:shd w:val="clear" w:color="000000" w:fill="FCA877"/>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115</w:t>
            </w:r>
          </w:p>
        </w:tc>
        <w:tc>
          <w:tcPr>
            <w:tcW w:w="485" w:type="pct"/>
            <w:shd w:val="clear" w:color="000000" w:fill="FED580"/>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89</w:t>
            </w:r>
          </w:p>
        </w:tc>
        <w:tc>
          <w:tcPr>
            <w:tcW w:w="449" w:type="pct"/>
            <w:shd w:val="clear" w:color="000000" w:fill="FDC27C"/>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100</w:t>
            </w:r>
          </w:p>
        </w:tc>
        <w:tc>
          <w:tcPr>
            <w:tcW w:w="502" w:type="pct"/>
            <w:shd w:val="clear" w:color="000000" w:fill="FFE683"/>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79</w:t>
            </w:r>
          </w:p>
        </w:tc>
        <w:tc>
          <w:tcPr>
            <w:tcW w:w="437" w:type="pct"/>
            <w:shd w:val="clear" w:color="000000" w:fill="FDC57D"/>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98</w:t>
            </w:r>
          </w:p>
        </w:tc>
        <w:tc>
          <w:tcPr>
            <w:tcW w:w="392" w:type="pct"/>
            <w:shd w:val="clear" w:color="000000" w:fill="FCA877"/>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115</w:t>
            </w:r>
          </w:p>
        </w:tc>
        <w:tc>
          <w:tcPr>
            <w:tcW w:w="469" w:type="pct"/>
            <w:shd w:val="clear" w:color="000000" w:fill="FEC97E"/>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96</w:t>
            </w:r>
          </w:p>
        </w:tc>
      </w:tr>
      <w:tr w:rsidR="00040D04" w:rsidTr="007875CB">
        <w:trPr>
          <w:trHeight w:val="20"/>
        </w:trPr>
        <w:tc>
          <w:tcPr>
            <w:tcW w:w="1381" w:type="pct"/>
            <w:shd w:val="clear" w:color="DDEBF7" w:fill="DDEBF7"/>
            <w:noWrap/>
            <w:vAlign w:val="bottom"/>
            <w:hideMark/>
          </w:tcPr>
          <w:p w:rsidR="007875CB" w:rsidRPr="007875CB" w:rsidRDefault="002E29C1" w:rsidP="007875CB">
            <w:pPr>
              <w:autoSpaceDE/>
              <w:autoSpaceDN/>
              <w:adjustRightInd/>
              <w:spacing w:after="0"/>
              <w:jc w:val="left"/>
              <w:rPr>
                <w:rFonts w:ascii="Calibri" w:eastAsia="Times New Roman" w:hAnsi="Calibri" w:cs="Times New Roman"/>
                <w:bCs/>
                <w:sz w:val="18"/>
                <w:szCs w:val="22"/>
                <w:lang w:eastAsia="en-GB"/>
              </w:rPr>
            </w:pPr>
            <w:r w:rsidRPr="007875CB">
              <w:rPr>
                <w:rFonts w:ascii="Calibri" w:eastAsia="Times New Roman" w:hAnsi="Calibri" w:cs="Times New Roman"/>
                <w:bCs/>
                <w:sz w:val="18"/>
                <w:szCs w:val="22"/>
                <w:lang w:eastAsia="en-GB"/>
              </w:rPr>
              <w:t>CUMBRIA</w:t>
            </w:r>
          </w:p>
        </w:tc>
        <w:tc>
          <w:tcPr>
            <w:tcW w:w="430" w:type="pct"/>
            <w:shd w:val="clear" w:color="000000" w:fill="F8696B"/>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151</w:t>
            </w:r>
          </w:p>
        </w:tc>
        <w:tc>
          <w:tcPr>
            <w:tcW w:w="455" w:type="pct"/>
            <w:shd w:val="clear" w:color="000000" w:fill="F8696B"/>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151</w:t>
            </w:r>
          </w:p>
        </w:tc>
        <w:tc>
          <w:tcPr>
            <w:tcW w:w="485" w:type="pct"/>
            <w:shd w:val="clear" w:color="000000" w:fill="F8696B"/>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151</w:t>
            </w:r>
          </w:p>
        </w:tc>
        <w:tc>
          <w:tcPr>
            <w:tcW w:w="449" w:type="pct"/>
            <w:shd w:val="clear" w:color="000000" w:fill="F96B6C"/>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150</w:t>
            </w:r>
          </w:p>
        </w:tc>
        <w:tc>
          <w:tcPr>
            <w:tcW w:w="502" w:type="pct"/>
            <w:shd w:val="clear" w:color="000000" w:fill="F96D6C"/>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149</w:t>
            </w:r>
          </w:p>
        </w:tc>
        <w:tc>
          <w:tcPr>
            <w:tcW w:w="437" w:type="pct"/>
            <w:shd w:val="clear" w:color="000000" w:fill="F96B6C"/>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150</w:t>
            </w:r>
          </w:p>
        </w:tc>
        <w:tc>
          <w:tcPr>
            <w:tcW w:w="392" w:type="pct"/>
            <w:shd w:val="clear" w:color="000000" w:fill="F96D6C"/>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149</w:t>
            </w:r>
          </w:p>
        </w:tc>
        <w:tc>
          <w:tcPr>
            <w:tcW w:w="469" w:type="pct"/>
            <w:shd w:val="clear" w:color="000000" w:fill="F96B6C"/>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150</w:t>
            </w:r>
          </w:p>
        </w:tc>
      </w:tr>
      <w:tr w:rsidR="00040D04" w:rsidTr="007875CB">
        <w:trPr>
          <w:trHeight w:val="20"/>
        </w:trPr>
        <w:tc>
          <w:tcPr>
            <w:tcW w:w="1381" w:type="pct"/>
            <w:shd w:val="clear" w:color="DDEBF7" w:fill="DDEBF7"/>
            <w:noWrap/>
            <w:vAlign w:val="bottom"/>
            <w:hideMark/>
          </w:tcPr>
          <w:p w:rsidR="007875CB" w:rsidRPr="007875CB" w:rsidRDefault="002E29C1" w:rsidP="007875CB">
            <w:pPr>
              <w:autoSpaceDE/>
              <w:autoSpaceDN/>
              <w:adjustRightInd/>
              <w:spacing w:after="0"/>
              <w:jc w:val="left"/>
              <w:rPr>
                <w:rFonts w:ascii="Calibri" w:eastAsia="Times New Roman" w:hAnsi="Calibri" w:cs="Times New Roman"/>
                <w:bCs/>
                <w:sz w:val="18"/>
                <w:szCs w:val="22"/>
                <w:lang w:eastAsia="en-GB"/>
              </w:rPr>
            </w:pPr>
            <w:r w:rsidRPr="007875CB">
              <w:rPr>
                <w:rFonts w:ascii="Calibri" w:eastAsia="Times New Roman" w:hAnsi="Calibri" w:cs="Times New Roman"/>
                <w:bCs/>
                <w:sz w:val="18"/>
                <w:szCs w:val="22"/>
                <w:lang w:eastAsia="en-GB"/>
              </w:rPr>
              <w:t>HALTON UA</w:t>
            </w:r>
          </w:p>
        </w:tc>
        <w:tc>
          <w:tcPr>
            <w:tcW w:w="430" w:type="pct"/>
            <w:shd w:val="clear" w:color="000000" w:fill="80C67C"/>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15</w:t>
            </w:r>
          </w:p>
        </w:tc>
        <w:tc>
          <w:tcPr>
            <w:tcW w:w="455" w:type="pct"/>
            <w:shd w:val="clear" w:color="000000" w:fill="C6DA80"/>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49</w:t>
            </w:r>
          </w:p>
        </w:tc>
        <w:tc>
          <w:tcPr>
            <w:tcW w:w="485" w:type="pct"/>
            <w:shd w:val="clear" w:color="000000" w:fill="EEE683"/>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68</w:t>
            </w:r>
          </w:p>
        </w:tc>
        <w:tc>
          <w:tcPr>
            <w:tcW w:w="449" w:type="pct"/>
            <w:shd w:val="clear" w:color="000000" w:fill="FFEB84"/>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76</w:t>
            </w:r>
          </w:p>
        </w:tc>
        <w:tc>
          <w:tcPr>
            <w:tcW w:w="502" w:type="pct"/>
            <w:shd w:val="clear" w:color="000000" w:fill="B4D57F"/>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40</w:t>
            </w:r>
          </w:p>
        </w:tc>
        <w:tc>
          <w:tcPr>
            <w:tcW w:w="437" w:type="pct"/>
            <w:shd w:val="clear" w:color="000000" w:fill="FCAD78"/>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112</w:t>
            </w:r>
          </w:p>
        </w:tc>
        <w:tc>
          <w:tcPr>
            <w:tcW w:w="392" w:type="pct"/>
            <w:shd w:val="clear" w:color="000000" w:fill="FFDF82"/>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83</w:t>
            </w:r>
          </w:p>
        </w:tc>
        <w:tc>
          <w:tcPr>
            <w:tcW w:w="469" w:type="pct"/>
            <w:shd w:val="clear" w:color="000000" w:fill="FFE383"/>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81</w:t>
            </w:r>
          </w:p>
        </w:tc>
      </w:tr>
      <w:tr w:rsidR="00040D04" w:rsidTr="007875CB">
        <w:trPr>
          <w:trHeight w:val="20"/>
        </w:trPr>
        <w:tc>
          <w:tcPr>
            <w:tcW w:w="1381" w:type="pct"/>
            <w:shd w:val="clear" w:color="DDEBF7" w:fill="DDEBF7"/>
            <w:noWrap/>
            <w:vAlign w:val="bottom"/>
            <w:hideMark/>
          </w:tcPr>
          <w:p w:rsidR="007875CB" w:rsidRPr="007875CB" w:rsidRDefault="002E29C1" w:rsidP="007875CB">
            <w:pPr>
              <w:autoSpaceDE/>
              <w:autoSpaceDN/>
              <w:adjustRightInd/>
              <w:spacing w:after="0"/>
              <w:jc w:val="left"/>
              <w:rPr>
                <w:rFonts w:ascii="Calibri" w:eastAsia="Times New Roman" w:hAnsi="Calibri" w:cs="Times New Roman"/>
                <w:bCs/>
                <w:sz w:val="18"/>
                <w:szCs w:val="22"/>
                <w:lang w:eastAsia="en-GB"/>
              </w:rPr>
            </w:pPr>
            <w:r w:rsidRPr="007875CB">
              <w:rPr>
                <w:rFonts w:ascii="Calibri" w:eastAsia="Times New Roman" w:hAnsi="Calibri" w:cs="Times New Roman"/>
                <w:bCs/>
                <w:sz w:val="18"/>
                <w:szCs w:val="22"/>
                <w:lang w:eastAsia="en-GB"/>
              </w:rPr>
              <w:t>KNOWSLEY</w:t>
            </w:r>
          </w:p>
        </w:tc>
        <w:tc>
          <w:tcPr>
            <w:tcW w:w="430" w:type="pct"/>
            <w:shd w:val="clear" w:color="000000" w:fill="FDB87B"/>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106</w:t>
            </w:r>
          </w:p>
        </w:tc>
        <w:tc>
          <w:tcPr>
            <w:tcW w:w="455" w:type="pct"/>
            <w:shd w:val="clear" w:color="000000" w:fill="FCB179"/>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110</w:t>
            </w:r>
          </w:p>
        </w:tc>
        <w:tc>
          <w:tcPr>
            <w:tcW w:w="485" w:type="pct"/>
            <w:shd w:val="clear" w:color="000000" w:fill="FB9F76"/>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120</w:t>
            </w:r>
          </w:p>
        </w:tc>
        <w:tc>
          <w:tcPr>
            <w:tcW w:w="449" w:type="pct"/>
            <w:shd w:val="clear" w:color="000000" w:fill="FED781"/>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88</w:t>
            </w:r>
          </w:p>
        </w:tc>
        <w:tc>
          <w:tcPr>
            <w:tcW w:w="502" w:type="pct"/>
            <w:shd w:val="clear" w:color="000000" w:fill="FCA877"/>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115</w:t>
            </w:r>
          </w:p>
        </w:tc>
        <w:tc>
          <w:tcPr>
            <w:tcW w:w="437" w:type="pct"/>
            <w:shd w:val="clear" w:color="000000" w:fill="FB9574"/>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126</w:t>
            </w:r>
          </w:p>
        </w:tc>
        <w:tc>
          <w:tcPr>
            <w:tcW w:w="392" w:type="pct"/>
            <w:shd w:val="clear" w:color="000000" w:fill="FCA477"/>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117</w:t>
            </w:r>
          </w:p>
        </w:tc>
        <w:tc>
          <w:tcPr>
            <w:tcW w:w="469" w:type="pct"/>
            <w:shd w:val="clear" w:color="000000" w:fill="FCA677"/>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116</w:t>
            </w:r>
          </w:p>
        </w:tc>
      </w:tr>
      <w:tr w:rsidR="00040D04" w:rsidTr="007875CB">
        <w:trPr>
          <w:trHeight w:val="20"/>
        </w:trPr>
        <w:tc>
          <w:tcPr>
            <w:tcW w:w="1381" w:type="pct"/>
            <w:shd w:val="clear" w:color="DDEBF7" w:fill="DDEBF7"/>
            <w:noWrap/>
            <w:vAlign w:val="bottom"/>
            <w:hideMark/>
          </w:tcPr>
          <w:p w:rsidR="007875CB" w:rsidRPr="007875CB" w:rsidRDefault="002E29C1" w:rsidP="007875CB">
            <w:pPr>
              <w:autoSpaceDE/>
              <w:autoSpaceDN/>
              <w:adjustRightInd/>
              <w:spacing w:after="0"/>
              <w:jc w:val="left"/>
              <w:rPr>
                <w:rFonts w:ascii="Calibri" w:eastAsia="Times New Roman" w:hAnsi="Calibri" w:cs="Times New Roman"/>
                <w:bCs/>
                <w:sz w:val="18"/>
                <w:szCs w:val="22"/>
                <w:lang w:eastAsia="en-GB"/>
              </w:rPr>
            </w:pPr>
            <w:r w:rsidRPr="007875CB">
              <w:rPr>
                <w:rFonts w:ascii="Calibri" w:eastAsia="Times New Roman" w:hAnsi="Calibri" w:cs="Times New Roman"/>
                <w:bCs/>
                <w:sz w:val="18"/>
                <w:szCs w:val="22"/>
                <w:lang w:eastAsia="en-GB"/>
              </w:rPr>
              <w:t>LANCASHIRE</w:t>
            </w:r>
          </w:p>
        </w:tc>
        <w:tc>
          <w:tcPr>
            <w:tcW w:w="430" w:type="pct"/>
            <w:shd w:val="clear" w:color="000000" w:fill="FA8E72"/>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130</w:t>
            </w:r>
          </w:p>
        </w:tc>
        <w:tc>
          <w:tcPr>
            <w:tcW w:w="455" w:type="pct"/>
            <w:shd w:val="clear" w:color="000000" w:fill="FCA477"/>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117</w:t>
            </w:r>
          </w:p>
        </w:tc>
        <w:tc>
          <w:tcPr>
            <w:tcW w:w="485" w:type="pct"/>
            <w:shd w:val="clear" w:color="000000" w:fill="FCAB78"/>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113</w:t>
            </w:r>
          </w:p>
        </w:tc>
        <w:tc>
          <w:tcPr>
            <w:tcW w:w="449" w:type="pct"/>
            <w:shd w:val="clear" w:color="000000" w:fill="FCB27A"/>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109</w:t>
            </w:r>
          </w:p>
        </w:tc>
        <w:tc>
          <w:tcPr>
            <w:tcW w:w="502" w:type="pct"/>
            <w:shd w:val="clear" w:color="000000" w:fill="FBA176"/>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119</w:t>
            </w:r>
          </w:p>
        </w:tc>
        <w:tc>
          <w:tcPr>
            <w:tcW w:w="437" w:type="pct"/>
            <w:shd w:val="clear" w:color="000000" w:fill="FBA176"/>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119</w:t>
            </w:r>
          </w:p>
        </w:tc>
        <w:tc>
          <w:tcPr>
            <w:tcW w:w="392" w:type="pct"/>
            <w:shd w:val="clear" w:color="000000" w:fill="FDB67A"/>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107</w:t>
            </w:r>
          </w:p>
        </w:tc>
        <w:tc>
          <w:tcPr>
            <w:tcW w:w="469" w:type="pct"/>
            <w:shd w:val="clear" w:color="000000" w:fill="FCAA78"/>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114</w:t>
            </w:r>
          </w:p>
        </w:tc>
      </w:tr>
      <w:tr w:rsidR="00040D04" w:rsidTr="007875CB">
        <w:trPr>
          <w:trHeight w:val="20"/>
        </w:trPr>
        <w:tc>
          <w:tcPr>
            <w:tcW w:w="1381" w:type="pct"/>
            <w:shd w:val="clear" w:color="DDEBF7" w:fill="DDEBF7"/>
            <w:noWrap/>
            <w:vAlign w:val="bottom"/>
            <w:hideMark/>
          </w:tcPr>
          <w:p w:rsidR="007875CB" w:rsidRPr="007875CB" w:rsidRDefault="002E29C1" w:rsidP="007875CB">
            <w:pPr>
              <w:autoSpaceDE/>
              <w:autoSpaceDN/>
              <w:adjustRightInd/>
              <w:spacing w:after="0"/>
              <w:jc w:val="left"/>
              <w:rPr>
                <w:rFonts w:ascii="Calibri" w:eastAsia="Times New Roman" w:hAnsi="Calibri" w:cs="Times New Roman"/>
                <w:bCs/>
                <w:sz w:val="18"/>
                <w:szCs w:val="22"/>
                <w:lang w:eastAsia="en-GB"/>
              </w:rPr>
            </w:pPr>
            <w:r w:rsidRPr="007875CB">
              <w:rPr>
                <w:rFonts w:ascii="Calibri" w:eastAsia="Times New Roman" w:hAnsi="Calibri" w:cs="Times New Roman"/>
                <w:bCs/>
                <w:sz w:val="18"/>
                <w:szCs w:val="22"/>
                <w:lang w:eastAsia="en-GB"/>
              </w:rPr>
              <w:t>LIVERPOOL</w:t>
            </w:r>
          </w:p>
        </w:tc>
        <w:tc>
          <w:tcPr>
            <w:tcW w:w="430" w:type="pct"/>
            <w:shd w:val="clear" w:color="000000" w:fill="FB9874"/>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124</w:t>
            </w:r>
          </w:p>
        </w:tc>
        <w:tc>
          <w:tcPr>
            <w:tcW w:w="455" w:type="pct"/>
            <w:shd w:val="clear" w:color="000000" w:fill="FED380"/>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90</w:t>
            </w:r>
          </w:p>
        </w:tc>
        <w:tc>
          <w:tcPr>
            <w:tcW w:w="485" w:type="pct"/>
            <w:shd w:val="clear" w:color="000000" w:fill="FCA677"/>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116</w:t>
            </w:r>
          </w:p>
        </w:tc>
        <w:tc>
          <w:tcPr>
            <w:tcW w:w="449" w:type="pct"/>
            <w:shd w:val="clear" w:color="000000" w:fill="FCAB78"/>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113</w:t>
            </w:r>
          </w:p>
        </w:tc>
        <w:tc>
          <w:tcPr>
            <w:tcW w:w="502" w:type="pct"/>
            <w:shd w:val="clear" w:color="000000" w:fill="FA8270"/>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137</w:t>
            </w:r>
          </w:p>
        </w:tc>
        <w:tc>
          <w:tcPr>
            <w:tcW w:w="437" w:type="pct"/>
            <w:shd w:val="clear" w:color="000000" w:fill="FCA477"/>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117</w:t>
            </w:r>
          </w:p>
        </w:tc>
        <w:tc>
          <w:tcPr>
            <w:tcW w:w="392" w:type="pct"/>
            <w:shd w:val="clear" w:color="000000" w:fill="FCB179"/>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110</w:t>
            </w:r>
          </w:p>
        </w:tc>
        <w:tc>
          <w:tcPr>
            <w:tcW w:w="469" w:type="pct"/>
            <w:shd w:val="clear" w:color="000000" w:fill="FCAD78"/>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112</w:t>
            </w:r>
          </w:p>
        </w:tc>
      </w:tr>
      <w:tr w:rsidR="00040D04" w:rsidTr="007875CB">
        <w:trPr>
          <w:trHeight w:val="20"/>
        </w:trPr>
        <w:tc>
          <w:tcPr>
            <w:tcW w:w="1381" w:type="pct"/>
            <w:shd w:val="clear" w:color="DDEBF7" w:fill="DDEBF7"/>
            <w:noWrap/>
            <w:vAlign w:val="bottom"/>
            <w:hideMark/>
          </w:tcPr>
          <w:p w:rsidR="007875CB" w:rsidRPr="007875CB" w:rsidRDefault="002E29C1" w:rsidP="007875CB">
            <w:pPr>
              <w:autoSpaceDE/>
              <w:autoSpaceDN/>
              <w:adjustRightInd/>
              <w:spacing w:after="0"/>
              <w:jc w:val="left"/>
              <w:rPr>
                <w:rFonts w:ascii="Calibri" w:eastAsia="Times New Roman" w:hAnsi="Calibri" w:cs="Times New Roman"/>
                <w:bCs/>
                <w:sz w:val="18"/>
                <w:szCs w:val="22"/>
                <w:lang w:eastAsia="en-GB"/>
              </w:rPr>
            </w:pPr>
            <w:r w:rsidRPr="007875CB">
              <w:rPr>
                <w:rFonts w:ascii="Calibri" w:eastAsia="Times New Roman" w:hAnsi="Calibri" w:cs="Times New Roman"/>
                <w:bCs/>
                <w:sz w:val="18"/>
                <w:szCs w:val="22"/>
                <w:lang w:eastAsia="en-GB"/>
              </w:rPr>
              <w:t>MANCHESTER</w:t>
            </w:r>
          </w:p>
        </w:tc>
        <w:tc>
          <w:tcPr>
            <w:tcW w:w="430" w:type="pct"/>
            <w:shd w:val="clear" w:color="000000" w:fill="F9706D"/>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147</w:t>
            </w:r>
          </w:p>
        </w:tc>
        <w:tc>
          <w:tcPr>
            <w:tcW w:w="455" w:type="pct"/>
            <w:shd w:val="clear" w:color="000000" w:fill="F96F6C"/>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148</w:t>
            </w:r>
          </w:p>
        </w:tc>
        <w:tc>
          <w:tcPr>
            <w:tcW w:w="485" w:type="pct"/>
            <w:shd w:val="clear" w:color="000000" w:fill="F96F6C"/>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148</w:t>
            </w:r>
          </w:p>
        </w:tc>
        <w:tc>
          <w:tcPr>
            <w:tcW w:w="449" w:type="pct"/>
            <w:shd w:val="clear" w:color="000000" w:fill="F97B6F"/>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141</w:t>
            </w:r>
          </w:p>
        </w:tc>
        <w:tc>
          <w:tcPr>
            <w:tcW w:w="502" w:type="pct"/>
            <w:shd w:val="clear" w:color="000000" w:fill="FA8370"/>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136</w:t>
            </w:r>
          </w:p>
        </w:tc>
        <w:tc>
          <w:tcPr>
            <w:tcW w:w="437" w:type="pct"/>
            <w:shd w:val="clear" w:color="000000" w:fill="FA8070"/>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138</w:t>
            </w:r>
          </w:p>
        </w:tc>
        <w:tc>
          <w:tcPr>
            <w:tcW w:w="392" w:type="pct"/>
            <w:shd w:val="clear" w:color="000000" w:fill="FA8971"/>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133</w:t>
            </w:r>
          </w:p>
        </w:tc>
        <w:tc>
          <w:tcPr>
            <w:tcW w:w="469" w:type="pct"/>
            <w:shd w:val="clear" w:color="000000" w:fill="FA8C72"/>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131</w:t>
            </w:r>
          </w:p>
        </w:tc>
      </w:tr>
      <w:tr w:rsidR="00040D04" w:rsidTr="007875CB">
        <w:trPr>
          <w:trHeight w:val="20"/>
        </w:trPr>
        <w:tc>
          <w:tcPr>
            <w:tcW w:w="1381" w:type="pct"/>
            <w:shd w:val="clear" w:color="DDEBF7" w:fill="DDEBF7"/>
            <w:noWrap/>
            <w:vAlign w:val="bottom"/>
            <w:hideMark/>
          </w:tcPr>
          <w:p w:rsidR="007875CB" w:rsidRPr="007875CB" w:rsidRDefault="002E29C1" w:rsidP="007875CB">
            <w:pPr>
              <w:autoSpaceDE/>
              <w:autoSpaceDN/>
              <w:adjustRightInd/>
              <w:spacing w:after="0"/>
              <w:jc w:val="left"/>
              <w:rPr>
                <w:rFonts w:ascii="Calibri" w:eastAsia="Times New Roman" w:hAnsi="Calibri" w:cs="Times New Roman"/>
                <w:bCs/>
                <w:sz w:val="18"/>
                <w:szCs w:val="22"/>
                <w:lang w:eastAsia="en-GB"/>
              </w:rPr>
            </w:pPr>
            <w:r w:rsidRPr="007875CB">
              <w:rPr>
                <w:rFonts w:ascii="Calibri" w:eastAsia="Times New Roman" w:hAnsi="Calibri" w:cs="Times New Roman"/>
                <w:bCs/>
                <w:sz w:val="18"/>
                <w:szCs w:val="22"/>
                <w:lang w:eastAsia="en-GB"/>
              </w:rPr>
              <w:t>OLDHAM</w:t>
            </w:r>
          </w:p>
        </w:tc>
        <w:tc>
          <w:tcPr>
            <w:tcW w:w="430" w:type="pct"/>
            <w:shd w:val="clear" w:color="000000" w:fill="CBDC81"/>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51</w:t>
            </w:r>
          </w:p>
        </w:tc>
        <w:tc>
          <w:tcPr>
            <w:tcW w:w="455" w:type="pct"/>
            <w:shd w:val="clear" w:color="000000" w:fill="FFDC81"/>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85</w:t>
            </w:r>
          </w:p>
        </w:tc>
        <w:tc>
          <w:tcPr>
            <w:tcW w:w="485" w:type="pct"/>
            <w:shd w:val="clear" w:color="000000" w:fill="FFEA84"/>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77</w:t>
            </w:r>
          </w:p>
        </w:tc>
        <w:tc>
          <w:tcPr>
            <w:tcW w:w="449" w:type="pct"/>
            <w:shd w:val="clear" w:color="000000" w:fill="A5D17E"/>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33</w:t>
            </w:r>
          </w:p>
        </w:tc>
        <w:tc>
          <w:tcPr>
            <w:tcW w:w="502" w:type="pct"/>
            <w:shd w:val="clear" w:color="000000" w:fill="B6D67F"/>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41</w:t>
            </w:r>
          </w:p>
        </w:tc>
        <w:tc>
          <w:tcPr>
            <w:tcW w:w="437" w:type="pct"/>
            <w:shd w:val="clear" w:color="000000" w:fill="D9E081"/>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58</w:t>
            </w:r>
          </w:p>
        </w:tc>
        <w:tc>
          <w:tcPr>
            <w:tcW w:w="392" w:type="pct"/>
            <w:shd w:val="clear" w:color="000000" w:fill="FED07F"/>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92</w:t>
            </w:r>
          </w:p>
        </w:tc>
        <w:tc>
          <w:tcPr>
            <w:tcW w:w="469" w:type="pct"/>
            <w:shd w:val="clear" w:color="000000" w:fill="F4E883"/>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71</w:t>
            </w:r>
          </w:p>
        </w:tc>
      </w:tr>
      <w:tr w:rsidR="00040D04" w:rsidTr="007875CB">
        <w:trPr>
          <w:trHeight w:val="20"/>
        </w:trPr>
        <w:tc>
          <w:tcPr>
            <w:tcW w:w="1381" w:type="pct"/>
            <w:shd w:val="clear" w:color="DDEBF7" w:fill="DDEBF7"/>
            <w:noWrap/>
            <w:vAlign w:val="bottom"/>
            <w:hideMark/>
          </w:tcPr>
          <w:p w:rsidR="007875CB" w:rsidRPr="007875CB" w:rsidRDefault="002E29C1" w:rsidP="007875CB">
            <w:pPr>
              <w:autoSpaceDE/>
              <w:autoSpaceDN/>
              <w:adjustRightInd/>
              <w:spacing w:after="0"/>
              <w:jc w:val="left"/>
              <w:rPr>
                <w:rFonts w:ascii="Calibri" w:eastAsia="Times New Roman" w:hAnsi="Calibri" w:cs="Times New Roman"/>
                <w:bCs/>
                <w:sz w:val="18"/>
                <w:szCs w:val="22"/>
                <w:lang w:eastAsia="en-GB"/>
              </w:rPr>
            </w:pPr>
            <w:r w:rsidRPr="007875CB">
              <w:rPr>
                <w:rFonts w:ascii="Calibri" w:eastAsia="Times New Roman" w:hAnsi="Calibri" w:cs="Times New Roman"/>
                <w:bCs/>
                <w:sz w:val="18"/>
                <w:szCs w:val="22"/>
                <w:lang w:eastAsia="en-GB"/>
              </w:rPr>
              <w:t>ROCHDALE</w:t>
            </w:r>
          </w:p>
        </w:tc>
        <w:tc>
          <w:tcPr>
            <w:tcW w:w="430" w:type="pct"/>
            <w:shd w:val="clear" w:color="000000" w:fill="FFE383"/>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81</w:t>
            </w:r>
          </w:p>
        </w:tc>
        <w:tc>
          <w:tcPr>
            <w:tcW w:w="455" w:type="pct"/>
            <w:shd w:val="clear" w:color="000000" w:fill="F8E983"/>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73</w:t>
            </w:r>
          </w:p>
        </w:tc>
        <w:tc>
          <w:tcPr>
            <w:tcW w:w="485" w:type="pct"/>
            <w:shd w:val="clear" w:color="000000" w:fill="E3E382"/>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63</w:t>
            </w:r>
          </w:p>
        </w:tc>
        <w:tc>
          <w:tcPr>
            <w:tcW w:w="449" w:type="pct"/>
            <w:shd w:val="clear" w:color="000000" w:fill="D5DF81"/>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56</w:t>
            </w:r>
          </w:p>
        </w:tc>
        <w:tc>
          <w:tcPr>
            <w:tcW w:w="502" w:type="pct"/>
            <w:shd w:val="clear" w:color="000000" w:fill="FFEB84"/>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76</w:t>
            </w:r>
          </w:p>
        </w:tc>
        <w:tc>
          <w:tcPr>
            <w:tcW w:w="437" w:type="pct"/>
            <w:shd w:val="clear" w:color="000000" w:fill="C6DA80"/>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49</w:t>
            </w:r>
          </w:p>
        </w:tc>
        <w:tc>
          <w:tcPr>
            <w:tcW w:w="392" w:type="pct"/>
            <w:shd w:val="clear" w:color="000000" w:fill="80C67C"/>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15</w:t>
            </w:r>
          </w:p>
        </w:tc>
        <w:tc>
          <w:tcPr>
            <w:tcW w:w="469" w:type="pct"/>
            <w:shd w:val="clear" w:color="000000" w:fill="A1D07E"/>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31</w:t>
            </w:r>
          </w:p>
        </w:tc>
      </w:tr>
      <w:tr w:rsidR="00040D04" w:rsidTr="007875CB">
        <w:trPr>
          <w:trHeight w:val="20"/>
        </w:trPr>
        <w:tc>
          <w:tcPr>
            <w:tcW w:w="1381" w:type="pct"/>
            <w:shd w:val="clear" w:color="DDEBF7" w:fill="DDEBF7"/>
            <w:noWrap/>
            <w:vAlign w:val="bottom"/>
            <w:hideMark/>
          </w:tcPr>
          <w:p w:rsidR="007875CB" w:rsidRPr="007875CB" w:rsidRDefault="002E29C1" w:rsidP="007875CB">
            <w:pPr>
              <w:autoSpaceDE/>
              <w:autoSpaceDN/>
              <w:adjustRightInd/>
              <w:spacing w:after="0"/>
              <w:jc w:val="left"/>
              <w:rPr>
                <w:rFonts w:ascii="Calibri" w:eastAsia="Times New Roman" w:hAnsi="Calibri" w:cs="Times New Roman"/>
                <w:bCs/>
                <w:sz w:val="18"/>
                <w:szCs w:val="22"/>
                <w:lang w:eastAsia="en-GB"/>
              </w:rPr>
            </w:pPr>
            <w:r w:rsidRPr="007875CB">
              <w:rPr>
                <w:rFonts w:ascii="Calibri" w:eastAsia="Times New Roman" w:hAnsi="Calibri" w:cs="Times New Roman"/>
                <w:bCs/>
                <w:sz w:val="18"/>
                <w:szCs w:val="22"/>
                <w:lang w:eastAsia="en-GB"/>
              </w:rPr>
              <w:t>SALFORD</w:t>
            </w:r>
          </w:p>
        </w:tc>
        <w:tc>
          <w:tcPr>
            <w:tcW w:w="430" w:type="pct"/>
            <w:shd w:val="clear" w:color="000000" w:fill="E8E482"/>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65</w:t>
            </w:r>
          </w:p>
        </w:tc>
        <w:tc>
          <w:tcPr>
            <w:tcW w:w="455" w:type="pct"/>
            <w:shd w:val="clear" w:color="000000" w:fill="E3E382"/>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63</w:t>
            </w:r>
          </w:p>
        </w:tc>
        <w:tc>
          <w:tcPr>
            <w:tcW w:w="485" w:type="pct"/>
            <w:shd w:val="clear" w:color="000000" w:fill="FFE383"/>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81</w:t>
            </w:r>
          </w:p>
        </w:tc>
        <w:tc>
          <w:tcPr>
            <w:tcW w:w="449" w:type="pct"/>
            <w:shd w:val="clear" w:color="000000" w:fill="D7DF81"/>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57</w:t>
            </w:r>
          </w:p>
        </w:tc>
        <w:tc>
          <w:tcPr>
            <w:tcW w:w="502" w:type="pct"/>
            <w:shd w:val="clear" w:color="000000" w:fill="FFDF82"/>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83</w:t>
            </w:r>
          </w:p>
        </w:tc>
        <w:tc>
          <w:tcPr>
            <w:tcW w:w="437" w:type="pct"/>
            <w:shd w:val="clear" w:color="000000" w:fill="FFEA84"/>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77</w:t>
            </w:r>
          </w:p>
        </w:tc>
        <w:tc>
          <w:tcPr>
            <w:tcW w:w="392" w:type="pct"/>
            <w:shd w:val="clear" w:color="000000" w:fill="C4DA80"/>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48</w:t>
            </w:r>
          </w:p>
        </w:tc>
        <w:tc>
          <w:tcPr>
            <w:tcW w:w="469" w:type="pct"/>
            <w:shd w:val="clear" w:color="000000" w:fill="EEE683"/>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68</w:t>
            </w:r>
          </w:p>
        </w:tc>
      </w:tr>
      <w:tr w:rsidR="00040D04" w:rsidTr="007875CB">
        <w:trPr>
          <w:trHeight w:val="20"/>
        </w:trPr>
        <w:tc>
          <w:tcPr>
            <w:tcW w:w="1381" w:type="pct"/>
            <w:shd w:val="clear" w:color="DDEBF7" w:fill="DDEBF7"/>
            <w:noWrap/>
            <w:vAlign w:val="bottom"/>
            <w:hideMark/>
          </w:tcPr>
          <w:p w:rsidR="007875CB" w:rsidRPr="007875CB" w:rsidRDefault="002E29C1" w:rsidP="007875CB">
            <w:pPr>
              <w:autoSpaceDE/>
              <w:autoSpaceDN/>
              <w:adjustRightInd/>
              <w:spacing w:after="0"/>
              <w:jc w:val="left"/>
              <w:rPr>
                <w:rFonts w:ascii="Calibri" w:eastAsia="Times New Roman" w:hAnsi="Calibri" w:cs="Times New Roman"/>
                <w:bCs/>
                <w:sz w:val="18"/>
                <w:szCs w:val="22"/>
                <w:lang w:eastAsia="en-GB"/>
              </w:rPr>
            </w:pPr>
            <w:r w:rsidRPr="007875CB">
              <w:rPr>
                <w:rFonts w:ascii="Calibri" w:eastAsia="Times New Roman" w:hAnsi="Calibri" w:cs="Times New Roman"/>
                <w:bCs/>
                <w:sz w:val="18"/>
                <w:szCs w:val="22"/>
                <w:lang w:eastAsia="en-GB"/>
              </w:rPr>
              <w:t>SEFTON</w:t>
            </w:r>
          </w:p>
        </w:tc>
        <w:tc>
          <w:tcPr>
            <w:tcW w:w="430" w:type="pct"/>
            <w:shd w:val="clear" w:color="000000" w:fill="FCAD78"/>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112</w:t>
            </w:r>
          </w:p>
        </w:tc>
        <w:tc>
          <w:tcPr>
            <w:tcW w:w="455" w:type="pct"/>
            <w:shd w:val="clear" w:color="000000" w:fill="FB9F76"/>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120</w:t>
            </w:r>
          </w:p>
        </w:tc>
        <w:tc>
          <w:tcPr>
            <w:tcW w:w="485" w:type="pct"/>
            <w:shd w:val="clear" w:color="000000" w:fill="FCA877"/>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115</w:t>
            </w:r>
          </w:p>
        </w:tc>
        <w:tc>
          <w:tcPr>
            <w:tcW w:w="449" w:type="pct"/>
            <w:shd w:val="clear" w:color="000000" w:fill="FFDE82"/>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84</w:t>
            </w:r>
          </w:p>
        </w:tc>
        <w:tc>
          <w:tcPr>
            <w:tcW w:w="502" w:type="pct"/>
            <w:shd w:val="clear" w:color="000000" w:fill="FFDA81"/>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86</w:t>
            </w:r>
          </w:p>
        </w:tc>
        <w:tc>
          <w:tcPr>
            <w:tcW w:w="437" w:type="pct"/>
            <w:shd w:val="clear" w:color="000000" w:fill="FB9774"/>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125</w:t>
            </w:r>
          </w:p>
        </w:tc>
        <w:tc>
          <w:tcPr>
            <w:tcW w:w="392" w:type="pct"/>
            <w:shd w:val="clear" w:color="000000" w:fill="FCAA78"/>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114</w:t>
            </w:r>
          </w:p>
        </w:tc>
        <w:tc>
          <w:tcPr>
            <w:tcW w:w="469" w:type="pct"/>
            <w:shd w:val="clear" w:color="000000" w:fill="FA8971"/>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133</w:t>
            </w:r>
          </w:p>
        </w:tc>
      </w:tr>
      <w:tr w:rsidR="00040D04" w:rsidTr="007875CB">
        <w:trPr>
          <w:trHeight w:val="20"/>
        </w:trPr>
        <w:tc>
          <w:tcPr>
            <w:tcW w:w="1381" w:type="pct"/>
            <w:shd w:val="clear" w:color="DDEBF7" w:fill="DDEBF7"/>
            <w:noWrap/>
            <w:vAlign w:val="bottom"/>
            <w:hideMark/>
          </w:tcPr>
          <w:p w:rsidR="007875CB" w:rsidRPr="007875CB" w:rsidRDefault="002E29C1" w:rsidP="007875CB">
            <w:pPr>
              <w:autoSpaceDE/>
              <w:autoSpaceDN/>
              <w:adjustRightInd/>
              <w:spacing w:after="0"/>
              <w:jc w:val="left"/>
              <w:rPr>
                <w:rFonts w:ascii="Calibri" w:eastAsia="Times New Roman" w:hAnsi="Calibri" w:cs="Times New Roman"/>
                <w:bCs/>
                <w:sz w:val="18"/>
                <w:szCs w:val="22"/>
                <w:lang w:eastAsia="en-GB"/>
              </w:rPr>
            </w:pPr>
            <w:r w:rsidRPr="007875CB">
              <w:rPr>
                <w:rFonts w:ascii="Calibri" w:eastAsia="Times New Roman" w:hAnsi="Calibri" w:cs="Times New Roman"/>
                <w:bCs/>
                <w:sz w:val="18"/>
                <w:szCs w:val="22"/>
                <w:lang w:eastAsia="en-GB"/>
              </w:rPr>
              <w:t>ST HELENS</w:t>
            </w:r>
          </w:p>
        </w:tc>
        <w:tc>
          <w:tcPr>
            <w:tcW w:w="430" w:type="pct"/>
            <w:shd w:val="clear" w:color="000000" w:fill="ADD37F"/>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37</w:t>
            </w:r>
          </w:p>
        </w:tc>
        <w:tc>
          <w:tcPr>
            <w:tcW w:w="455" w:type="pct"/>
            <w:shd w:val="clear" w:color="000000" w:fill="AFD47F"/>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38</w:t>
            </w:r>
          </w:p>
        </w:tc>
        <w:tc>
          <w:tcPr>
            <w:tcW w:w="485" w:type="pct"/>
            <w:shd w:val="clear" w:color="000000" w:fill="B4D57F"/>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40</w:t>
            </w:r>
          </w:p>
        </w:tc>
        <w:tc>
          <w:tcPr>
            <w:tcW w:w="449" w:type="pct"/>
            <w:shd w:val="clear" w:color="000000" w:fill="D1DD81"/>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54</w:t>
            </w:r>
          </w:p>
        </w:tc>
        <w:tc>
          <w:tcPr>
            <w:tcW w:w="502" w:type="pct"/>
            <w:shd w:val="clear" w:color="000000" w:fill="F2E783"/>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70</w:t>
            </w:r>
          </w:p>
        </w:tc>
        <w:tc>
          <w:tcPr>
            <w:tcW w:w="437" w:type="pct"/>
            <w:shd w:val="clear" w:color="000000" w:fill="FED280"/>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91</w:t>
            </w:r>
          </w:p>
        </w:tc>
        <w:tc>
          <w:tcPr>
            <w:tcW w:w="392" w:type="pct"/>
            <w:shd w:val="clear" w:color="000000" w:fill="94CC7D"/>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25</w:t>
            </w:r>
          </w:p>
        </w:tc>
        <w:tc>
          <w:tcPr>
            <w:tcW w:w="469" w:type="pct"/>
            <w:shd w:val="clear" w:color="000000" w:fill="9DCE7E"/>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29</w:t>
            </w:r>
          </w:p>
        </w:tc>
      </w:tr>
      <w:tr w:rsidR="00040D04" w:rsidTr="007875CB">
        <w:trPr>
          <w:trHeight w:val="20"/>
        </w:trPr>
        <w:tc>
          <w:tcPr>
            <w:tcW w:w="1381" w:type="pct"/>
            <w:shd w:val="clear" w:color="DDEBF7" w:fill="DDEBF7"/>
            <w:noWrap/>
            <w:vAlign w:val="bottom"/>
            <w:hideMark/>
          </w:tcPr>
          <w:p w:rsidR="007875CB" w:rsidRPr="007875CB" w:rsidRDefault="002E29C1" w:rsidP="007875CB">
            <w:pPr>
              <w:autoSpaceDE/>
              <w:autoSpaceDN/>
              <w:adjustRightInd/>
              <w:spacing w:after="0"/>
              <w:jc w:val="left"/>
              <w:rPr>
                <w:rFonts w:ascii="Calibri" w:eastAsia="Times New Roman" w:hAnsi="Calibri" w:cs="Times New Roman"/>
                <w:bCs/>
                <w:sz w:val="18"/>
                <w:szCs w:val="22"/>
                <w:lang w:eastAsia="en-GB"/>
              </w:rPr>
            </w:pPr>
            <w:r w:rsidRPr="007875CB">
              <w:rPr>
                <w:rFonts w:ascii="Calibri" w:eastAsia="Times New Roman" w:hAnsi="Calibri" w:cs="Times New Roman"/>
                <w:bCs/>
                <w:sz w:val="18"/>
                <w:szCs w:val="22"/>
                <w:lang w:eastAsia="en-GB"/>
              </w:rPr>
              <w:t>STOCKPORT</w:t>
            </w:r>
          </w:p>
        </w:tc>
        <w:tc>
          <w:tcPr>
            <w:tcW w:w="430" w:type="pct"/>
            <w:shd w:val="clear" w:color="000000" w:fill="F9776E"/>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143</w:t>
            </w:r>
          </w:p>
        </w:tc>
        <w:tc>
          <w:tcPr>
            <w:tcW w:w="455" w:type="pct"/>
            <w:shd w:val="clear" w:color="000000" w:fill="F9746D"/>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145</w:t>
            </w:r>
          </w:p>
        </w:tc>
        <w:tc>
          <w:tcPr>
            <w:tcW w:w="485" w:type="pct"/>
            <w:shd w:val="clear" w:color="000000" w:fill="F96B6C"/>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150</w:t>
            </w:r>
          </w:p>
        </w:tc>
        <w:tc>
          <w:tcPr>
            <w:tcW w:w="449" w:type="pct"/>
            <w:shd w:val="clear" w:color="000000" w:fill="F9766E"/>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144</w:t>
            </w:r>
          </w:p>
        </w:tc>
        <w:tc>
          <w:tcPr>
            <w:tcW w:w="502" w:type="pct"/>
            <w:shd w:val="clear" w:color="000000" w:fill="F9766E"/>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144</w:t>
            </w:r>
          </w:p>
        </w:tc>
        <w:tc>
          <w:tcPr>
            <w:tcW w:w="437" w:type="pct"/>
            <w:shd w:val="clear" w:color="000000" w:fill="F9776E"/>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143</w:t>
            </w:r>
          </w:p>
        </w:tc>
        <w:tc>
          <w:tcPr>
            <w:tcW w:w="392" w:type="pct"/>
            <w:shd w:val="clear" w:color="000000" w:fill="F8696B"/>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151</w:t>
            </w:r>
          </w:p>
        </w:tc>
        <w:tc>
          <w:tcPr>
            <w:tcW w:w="469" w:type="pct"/>
            <w:shd w:val="clear" w:color="000000" w:fill="FA8771"/>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134</w:t>
            </w:r>
          </w:p>
        </w:tc>
      </w:tr>
      <w:tr w:rsidR="00040D04" w:rsidTr="007875CB">
        <w:trPr>
          <w:trHeight w:val="20"/>
        </w:trPr>
        <w:tc>
          <w:tcPr>
            <w:tcW w:w="1381" w:type="pct"/>
            <w:shd w:val="clear" w:color="DDEBF7" w:fill="DDEBF7"/>
            <w:noWrap/>
            <w:vAlign w:val="bottom"/>
            <w:hideMark/>
          </w:tcPr>
          <w:p w:rsidR="007875CB" w:rsidRPr="007875CB" w:rsidRDefault="002E29C1" w:rsidP="007875CB">
            <w:pPr>
              <w:autoSpaceDE/>
              <w:autoSpaceDN/>
              <w:adjustRightInd/>
              <w:spacing w:after="0"/>
              <w:jc w:val="left"/>
              <w:rPr>
                <w:rFonts w:ascii="Calibri" w:eastAsia="Times New Roman" w:hAnsi="Calibri" w:cs="Times New Roman"/>
                <w:bCs/>
                <w:sz w:val="18"/>
                <w:szCs w:val="22"/>
                <w:lang w:eastAsia="en-GB"/>
              </w:rPr>
            </w:pPr>
            <w:r w:rsidRPr="007875CB">
              <w:rPr>
                <w:rFonts w:ascii="Calibri" w:eastAsia="Times New Roman" w:hAnsi="Calibri" w:cs="Times New Roman"/>
                <w:bCs/>
                <w:sz w:val="18"/>
                <w:szCs w:val="22"/>
                <w:lang w:eastAsia="en-GB"/>
              </w:rPr>
              <w:t>TAMESIDE</w:t>
            </w:r>
          </w:p>
        </w:tc>
        <w:tc>
          <w:tcPr>
            <w:tcW w:w="430" w:type="pct"/>
            <w:shd w:val="clear" w:color="000000" w:fill="FA8370"/>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136</w:t>
            </w:r>
          </w:p>
        </w:tc>
        <w:tc>
          <w:tcPr>
            <w:tcW w:w="455" w:type="pct"/>
            <w:shd w:val="clear" w:color="000000" w:fill="F9776E"/>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143</w:t>
            </w:r>
          </w:p>
        </w:tc>
        <w:tc>
          <w:tcPr>
            <w:tcW w:w="485" w:type="pct"/>
            <w:shd w:val="clear" w:color="000000" w:fill="F9726D"/>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146</w:t>
            </w:r>
          </w:p>
        </w:tc>
        <w:tc>
          <w:tcPr>
            <w:tcW w:w="449" w:type="pct"/>
            <w:shd w:val="clear" w:color="000000" w:fill="F8696B"/>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151</w:t>
            </w:r>
          </w:p>
        </w:tc>
        <w:tc>
          <w:tcPr>
            <w:tcW w:w="502" w:type="pct"/>
            <w:shd w:val="clear" w:color="000000" w:fill="F8696B"/>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151</w:t>
            </w:r>
          </w:p>
        </w:tc>
        <w:tc>
          <w:tcPr>
            <w:tcW w:w="437" w:type="pct"/>
            <w:shd w:val="clear" w:color="000000" w:fill="F8696B"/>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151</w:t>
            </w:r>
          </w:p>
        </w:tc>
        <w:tc>
          <w:tcPr>
            <w:tcW w:w="392" w:type="pct"/>
            <w:shd w:val="clear" w:color="000000" w:fill="F9766E"/>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144</w:t>
            </w:r>
          </w:p>
        </w:tc>
        <w:tc>
          <w:tcPr>
            <w:tcW w:w="469" w:type="pct"/>
            <w:shd w:val="clear" w:color="000000" w:fill="F8696B"/>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151</w:t>
            </w:r>
          </w:p>
        </w:tc>
      </w:tr>
      <w:tr w:rsidR="00040D04" w:rsidTr="007875CB">
        <w:trPr>
          <w:trHeight w:val="20"/>
        </w:trPr>
        <w:tc>
          <w:tcPr>
            <w:tcW w:w="1381" w:type="pct"/>
            <w:shd w:val="clear" w:color="DDEBF7" w:fill="DDEBF7"/>
            <w:noWrap/>
            <w:vAlign w:val="bottom"/>
            <w:hideMark/>
          </w:tcPr>
          <w:p w:rsidR="007875CB" w:rsidRPr="007875CB" w:rsidRDefault="002E29C1" w:rsidP="007875CB">
            <w:pPr>
              <w:autoSpaceDE/>
              <w:autoSpaceDN/>
              <w:adjustRightInd/>
              <w:spacing w:after="0"/>
              <w:jc w:val="left"/>
              <w:rPr>
                <w:rFonts w:ascii="Calibri" w:eastAsia="Times New Roman" w:hAnsi="Calibri" w:cs="Times New Roman"/>
                <w:bCs/>
                <w:sz w:val="18"/>
                <w:szCs w:val="22"/>
                <w:lang w:eastAsia="en-GB"/>
              </w:rPr>
            </w:pPr>
            <w:r w:rsidRPr="007875CB">
              <w:rPr>
                <w:rFonts w:ascii="Calibri" w:eastAsia="Times New Roman" w:hAnsi="Calibri" w:cs="Times New Roman"/>
                <w:bCs/>
                <w:sz w:val="18"/>
                <w:szCs w:val="22"/>
                <w:lang w:eastAsia="en-GB"/>
              </w:rPr>
              <w:t>TRAFFORD</w:t>
            </w:r>
          </w:p>
        </w:tc>
        <w:tc>
          <w:tcPr>
            <w:tcW w:w="430" w:type="pct"/>
            <w:shd w:val="clear" w:color="000000" w:fill="F96F6C"/>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148</w:t>
            </w:r>
          </w:p>
        </w:tc>
        <w:tc>
          <w:tcPr>
            <w:tcW w:w="455" w:type="pct"/>
            <w:shd w:val="clear" w:color="000000" w:fill="FA7D6F"/>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140</w:t>
            </w:r>
          </w:p>
        </w:tc>
        <w:tc>
          <w:tcPr>
            <w:tcW w:w="485" w:type="pct"/>
            <w:shd w:val="clear" w:color="000000" w:fill="FA8571"/>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135</w:t>
            </w:r>
          </w:p>
        </w:tc>
        <w:tc>
          <w:tcPr>
            <w:tcW w:w="449" w:type="pct"/>
            <w:shd w:val="clear" w:color="000000" w:fill="F9746D"/>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145</w:t>
            </w:r>
          </w:p>
        </w:tc>
        <w:tc>
          <w:tcPr>
            <w:tcW w:w="502" w:type="pct"/>
            <w:shd w:val="clear" w:color="000000" w:fill="F96B6C"/>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150</w:t>
            </w:r>
          </w:p>
        </w:tc>
        <w:tc>
          <w:tcPr>
            <w:tcW w:w="437" w:type="pct"/>
            <w:shd w:val="clear" w:color="000000" w:fill="F9706D"/>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147</w:t>
            </w:r>
          </w:p>
        </w:tc>
        <w:tc>
          <w:tcPr>
            <w:tcW w:w="392" w:type="pct"/>
            <w:shd w:val="clear" w:color="000000" w:fill="F9746D"/>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145</w:t>
            </w:r>
          </w:p>
        </w:tc>
        <w:tc>
          <w:tcPr>
            <w:tcW w:w="469" w:type="pct"/>
            <w:shd w:val="clear" w:color="000000" w:fill="F9726D"/>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146</w:t>
            </w:r>
          </w:p>
        </w:tc>
      </w:tr>
      <w:tr w:rsidR="00040D04" w:rsidTr="007875CB">
        <w:trPr>
          <w:trHeight w:val="20"/>
        </w:trPr>
        <w:tc>
          <w:tcPr>
            <w:tcW w:w="1381" w:type="pct"/>
            <w:shd w:val="clear" w:color="DDEBF7" w:fill="DDEBF7"/>
            <w:noWrap/>
            <w:vAlign w:val="bottom"/>
            <w:hideMark/>
          </w:tcPr>
          <w:p w:rsidR="007875CB" w:rsidRPr="007875CB" w:rsidRDefault="002E29C1" w:rsidP="007875CB">
            <w:pPr>
              <w:autoSpaceDE/>
              <w:autoSpaceDN/>
              <w:adjustRightInd/>
              <w:spacing w:after="0"/>
              <w:jc w:val="left"/>
              <w:rPr>
                <w:rFonts w:ascii="Calibri" w:eastAsia="Times New Roman" w:hAnsi="Calibri" w:cs="Times New Roman"/>
                <w:bCs/>
                <w:sz w:val="18"/>
                <w:szCs w:val="22"/>
                <w:lang w:eastAsia="en-GB"/>
              </w:rPr>
            </w:pPr>
            <w:r w:rsidRPr="007875CB">
              <w:rPr>
                <w:rFonts w:ascii="Calibri" w:eastAsia="Times New Roman" w:hAnsi="Calibri" w:cs="Times New Roman"/>
                <w:bCs/>
                <w:sz w:val="18"/>
                <w:szCs w:val="22"/>
                <w:lang w:eastAsia="en-GB"/>
              </w:rPr>
              <w:t>WARRINGTON UA</w:t>
            </w:r>
          </w:p>
        </w:tc>
        <w:tc>
          <w:tcPr>
            <w:tcW w:w="430" w:type="pct"/>
            <w:shd w:val="clear" w:color="000000" w:fill="FCA477"/>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117</w:t>
            </w:r>
          </w:p>
        </w:tc>
        <w:tc>
          <w:tcPr>
            <w:tcW w:w="455" w:type="pct"/>
            <w:shd w:val="clear" w:color="000000" w:fill="FA8A72"/>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132</w:t>
            </w:r>
          </w:p>
        </w:tc>
        <w:tc>
          <w:tcPr>
            <w:tcW w:w="485" w:type="pct"/>
            <w:shd w:val="clear" w:color="000000" w:fill="FA8070"/>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138</w:t>
            </w:r>
          </w:p>
        </w:tc>
        <w:tc>
          <w:tcPr>
            <w:tcW w:w="449" w:type="pct"/>
            <w:shd w:val="clear" w:color="000000" w:fill="FDB87B"/>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106</w:t>
            </w:r>
          </w:p>
        </w:tc>
        <w:tc>
          <w:tcPr>
            <w:tcW w:w="502" w:type="pct"/>
            <w:shd w:val="clear" w:color="000000" w:fill="FB9073"/>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129</w:t>
            </w:r>
          </w:p>
        </w:tc>
        <w:tc>
          <w:tcPr>
            <w:tcW w:w="437" w:type="pct"/>
            <w:shd w:val="clear" w:color="000000" w:fill="FA8A72"/>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132</w:t>
            </w:r>
          </w:p>
        </w:tc>
        <w:tc>
          <w:tcPr>
            <w:tcW w:w="392" w:type="pct"/>
            <w:shd w:val="clear" w:color="000000" w:fill="E1E282"/>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62</w:t>
            </w:r>
          </w:p>
        </w:tc>
        <w:tc>
          <w:tcPr>
            <w:tcW w:w="469" w:type="pct"/>
            <w:shd w:val="clear" w:color="000000" w:fill="B6D67F"/>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41</w:t>
            </w:r>
          </w:p>
        </w:tc>
      </w:tr>
      <w:tr w:rsidR="00040D04" w:rsidTr="007875CB">
        <w:trPr>
          <w:trHeight w:val="20"/>
        </w:trPr>
        <w:tc>
          <w:tcPr>
            <w:tcW w:w="1381" w:type="pct"/>
            <w:shd w:val="clear" w:color="DDEBF7" w:fill="DDEBF7"/>
            <w:noWrap/>
            <w:vAlign w:val="bottom"/>
            <w:hideMark/>
          </w:tcPr>
          <w:p w:rsidR="007875CB" w:rsidRPr="007875CB" w:rsidRDefault="002E29C1" w:rsidP="007875CB">
            <w:pPr>
              <w:autoSpaceDE/>
              <w:autoSpaceDN/>
              <w:adjustRightInd/>
              <w:spacing w:after="0"/>
              <w:jc w:val="left"/>
              <w:rPr>
                <w:rFonts w:ascii="Calibri" w:eastAsia="Times New Roman" w:hAnsi="Calibri" w:cs="Times New Roman"/>
                <w:bCs/>
                <w:sz w:val="18"/>
                <w:szCs w:val="22"/>
                <w:lang w:eastAsia="en-GB"/>
              </w:rPr>
            </w:pPr>
            <w:r w:rsidRPr="007875CB">
              <w:rPr>
                <w:rFonts w:ascii="Calibri" w:eastAsia="Times New Roman" w:hAnsi="Calibri" w:cs="Times New Roman"/>
                <w:bCs/>
                <w:sz w:val="18"/>
                <w:szCs w:val="22"/>
                <w:lang w:eastAsia="en-GB"/>
              </w:rPr>
              <w:t>WIGAN</w:t>
            </w:r>
          </w:p>
        </w:tc>
        <w:tc>
          <w:tcPr>
            <w:tcW w:w="430" w:type="pct"/>
            <w:shd w:val="clear" w:color="000000" w:fill="FDBE7C"/>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102</w:t>
            </w:r>
          </w:p>
        </w:tc>
        <w:tc>
          <w:tcPr>
            <w:tcW w:w="455" w:type="pct"/>
            <w:shd w:val="clear" w:color="000000" w:fill="F2E783"/>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70</w:t>
            </w:r>
          </w:p>
        </w:tc>
        <w:tc>
          <w:tcPr>
            <w:tcW w:w="485" w:type="pct"/>
            <w:shd w:val="clear" w:color="000000" w:fill="CBDC81"/>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51</w:t>
            </w:r>
          </w:p>
        </w:tc>
        <w:tc>
          <w:tcPr>
            <w:tcW w:w="449" w:type="pct"/>
            <w:shd w:val="clear" w:color="000000" w:fill="C4DA80"/>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48</w:t>
            </w:r>
          </w:p>
        </w:tc>
        <w:tc>
          <w:tcPr>
            <w:tcW w:w="502" w:type="pct"/>
            <w:shd w:val="clear" w:color="000000" w:fill="EEE683"/>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68</w:t>
            </w:r>
          </w:p>
        </w:tc>
        <w:tc>
          <w:tcPr>
            <w:tcW w:w="437" w:type="pct"/>
            <w:shd w:val="clear" w:color="000000" w:fill="D7DF81"/>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57</w:t>
            </w:r>
          </w:p>
        </w:tc>
        <w:tc>
          <w:tcPr>
            <w:tcW w:w="392" w:type="pct"/>
            <w:shd w:val="clear" w:color="000000" w:fill="ECE582"/>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67</w:t>
            </w:r>
          </w:p>
        </w:tc>
        <w:tc>
          <w:tcPr>
            <w:tcW w:w="469" w:type="pct"/>
            <w:shd w:val="clear" w:color="000000" w:fill="E1E282"/>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62</w:t>
            </w:r>
          </w:p>
        </w:tc>
      </w:tr>
      <w:tr w:rsidR="00040D04" w:rsidTr="007875CB">
        <w:trPr>
          <w:trHeight w:val="20"/>
        </w:trPr>
        <w:tc>
          <w:tcPr>
            <w:tcW w:w="1381" w:type="pct"/>
            <w:shd w:val="clear" w:color="DDEBF7" w:fill="DDEBF7"/>
            <w:noWrap/>
            <w:vAlign w:val="bottom"/>
            <w:hideMark/>
          </w:tcPr>
          <w:p w:rsidR="007875CB" w:rsidRPr="007875CB" w:rsidRDefault="002E29C1" w:rsidP="007875CB">
            <w:pPr>
              <w:autoSpaceDE/>
              <w:autoSpaceDN/>
              <w:adjustRightInd/>
              <w:spacing w:after="0"/>
              <w:jc w:val="left"/>
              <w:rPr>
                <w:rFonts w:ascii="Calibri" w:eastAsia="Times New Roman" w:hAnsi="Calibri" w:cs="Times New Roman"/>
                <w:bCs/>
                <w:sz w:val="18"/>
                <w:szCs w:val="22"/>
                <w:lang w:eastAsia="en-GB"/>
              </w:rPr>
            </w:pPr>
            <w:r w:rsidRPr="007875CB">
              <w:rPr>
                <w:rFonts w:ascii="Calibri" w:eastAsia="Times New Roman" w:hAnsi="Calibri" w:cs="Times New Roman"/>
                <w:bCs/>
                <w:sz w:val="18"/>
                <w:szCs w:val="22"/>
                <w:lang w:eastAsia="en-GB"/>
              </w:rPr>
              <w:t>WIRRAL</w:t>
            </w:r>
          </w:p>
        </w:tc>
        <w:tc>
          <w:tcPr>
            <w:tcW w:w="430" w:type="pct"/>
            <w:shd w:val="clear" w:color="000000" w:fill="B8D67F"/>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42</w:t>
            </w:r>
          </w:p>
        </w:tc>
        <w:tc>
          <w:tcPr>
            <w:tcW w:w="455" w:type="pct"/>
            <w:shd w:val="clear" w:color="000000" w:fill="8CCA7D"/>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21</w:t>
            </w:r>
          </w:p>
        </w:tc>
        <w:tc>
          <w:tcPr>
            <w:tcW w:w="485" w:type="pct"/>
            <w:shd w:val="clear" w:color="000000" w:fill="9BCE7E"/>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28</w:t>
            </w:r>
          </w:p>
        </w:tc>
        <w:tc>
          <w:tcPr>
            <w:tcW w:w="449" w:type="pct"/>
            <w:shd w:val="clear" w:color="000000" w:fill="F2E783"/>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70</w:t>
            </w:r>
          </w:p>
        </w:tc>
        <w:tc>
          <w:tcPr>
            <w:tcW w:w="502" w:type="pct"/>
            <w:shd w:val="clear" w:color="000000" w:fill="FCAA78"/>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114</w:t>
            </w:r>
          </w:p>
        </w:tc>
        <w:tc>
          <w:tcPr>
            <w:tcW w:w="437" w:type="pct"/>
            <w:shd w:val="clear" w:color="000000" w:fill="E8E482"/>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65</w:t>
            </w:r>
          </w:p>
        </w:tc>
        <w:tc>
          <w:tcPr>
            <w:tcW w:w="392" w:type="pct"/>
            <w:shd w:val="clear" w:color="000000" w:fill="FDB47A"/>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108</w:t>
            </w:r>
          </w:p>
        </w:tc>
        <w:tc>
          <w:tcPr>
            <w:tcW w:w="469" w:type="pct"/>
            <w:shd w:val="clear" w:color="000000" w:fill="FEC77D"/>
            <w:noWrap/>
            <w:vAlign w:val="bottom"/>
            <w:hideMark/>
          </w:tcPr>
          <w:p w:rsidR="007875CB" w:rsidRPr="007875CB" w:rsidRDefault="002E29C1" w:rsidP="007875CB">
            <w:pPr>
              <w:autoSpaceDE/>
              <w:autoSpaceDN/>
              <w:adjustRightInd/>
              <w:spacing w:after="0"/>
              <w:jc w:val="right"/>
              <w:rPr>
                <w:rFonts w:ascii="Calibri" w:eastAsia="Times New Roman" w:hAnsi="Calibri" w:cs="Times New Roman"/>
                <w:sz w:val="20"/>
                <w:szCs w:val="22"/>
                <w:lang w:eastAsia="en-GB"/>
              </w:rPr>
            </w:pPr>
            <w:r w:rsidRPr="007875CB">
              <w:rPr>
                <w:rFonts w:ascii="Calibri" w:eastAsia="Times New Roman" w:hAnsi="Calibri" w:cs="Times New Roman"/>
                <w:sz w:val="20"/>
                <w:szCs w:val="22"/>
                <w:lang w:eastAsia="en-GB"/>
              </w:rPr>
              <w:t>97</w:t>
            </w:r>
          </w:p>
        </w:tc>
      </w:tr>
    </w:tbl>
    <w:p w:rsidR="007875CB" w:rsidRPr="00BE3267" w:rsidRDefault="00AC7EBD" w:rsidP="00500F9E">
      <w:pPr>
        <w:spacing w:after="0" w:line="259" w:lineRule="auto"/>
        <w:rPr>
          <w:rFonts w:cs="Arial"/>
          <w:b/>
          <w:sz w:val="14"/>
        </w:rPr>
      </w:pPr>
    </w:p>
    <w:p w:rsidR="00D20769" w:rsidRPr="00631C88" w:rsidRDefault="002E29C1" w:rsidP="009837A1">
      <w:pPr>
        <w:spacing w:after="160" w:line="259" w:lineRule="auto"/>
        <w:rPr>
          <w:rFonts w:cs="Arial"/>
          <w:b/>
        </w:rPr>
      </w:pPr>
      <w:r w:rsidRPr="00BE3267">
        <w:rPr>
          <w:rFonts w:cs="Arial"/>
          <w:b/>
        </w:rPr>
        <w:lastRenderedPageBreak/>
        <w:t xml:space="preserve">Total DToC </w:t>
      </w:r>
      <w:r w:rsidRPr="00631C88">
        <w:rPr>
          <w:rFonts w:cs="Arial"/>
          <w:b/>
        </w:rPr>
        <w:t>Bed Days per 100,000 population aged 18+ (a lower score is best)</w:t>
      </w:r>
    </w:p>
    <w:p w:rsidR="00D20769" w:rsidRPr="00631C88" w:rsidRDefault="002E29C1" w:rsidP="00D20769">
      <w:pPr>
        <w:spacing w:after="160" w:line="259" w:lineRule="auto"/>
        <w:rPr>
          <w:rFonts w:cs="Arial"/>
        </w:rPr>
      </w:pPr>
      <w:r w:rsidRPr="00631C88">
        <w:rPr>
          <w:rFonts w:cs="Arial"/>
        </w:rPr>
        <w:t>In Aug-18 Lancashire were 15</w:t>
      </w:r>
      <w:r w:rsidRPr="00631C88">
        <w:rPr>
          <w:rFonts w:cs="Arial"/>
          <w:vertAlign w:val="superscript"/>
        </w:rPr>
        <w:t>th</w:t>
      </w:r>
      <w:r w:rsidRPr="00631C88">
        <w:rPr>
          <w:rFonts w:cs="Arial"/>
        </w:rPr>
        <w:t xml:space="preserve"> highest out of 23 NW authorities for the total bed days per 100,000 population aged 18+ (compared with 16</w:t>
      </w:r>
      <w:r w:rsidRPr="00631C88">
        <w:rPr>
          <w:rFonts w:cs="Arial"/>
          <w:vertAlign w:val="superscript"/>
        </w:rPr>
        <w:t>th</w:t>
      </w:r>
      <w:r w:rsidRPr="00631C88">
        <w:rPr>
          <w:rFonts w:cs="Arial"/>
        </w:rPr>
        <w:t xml:space="preserve"> in the previous month).</w:t>
      </w:r>
    </w:p>
    <w:p w:rsidR="00631C88" w:rsidRPr="00631C88" w:rsidRDefault="002E29C1" w:rsidP="00D20769">
      <w:pPr>
        <w:spacing w:after="160" w:line="259" w:lineRule="auto"/>
        <w:rPr>
          <w:rFonts w:cs="Arial"/>
        </w:rPr>
      </w:pPr>
      <w:r w:rsidRPr="00631C88">
        <w:rPr>
          <w:noProof/>
          <w:lang w:eastAsia="en-GB"/>
        </w:rPr>
        <w:drawing>
          <wp:inline distT="0" distB="0" distL="0" distR="0">
            <wp:extent cx="5727700" cy="4210493"/>
            <wp:effectExtent l="0" t="0" r="635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20769" w:rsidRPr="00631C88" w:rsidRDefault="002E29C1" w:rsidP="00D20769">
      <w:pPr>
        <w:spacing w:after="160" w:line="259" w:lineRule="auto"/>
        <w:rPr>
          <w:rFonts w:cs="Arial"/>
        </w:rPr>
      </w:pPr>
      <w:r w:rsidRPr="00631C88">
        <w:rPr>
          <w:rFonts w:cs="Arial"/>
        </w:rPr>
        <w:t>In Aug-18 Lancashire were 11</w:t>
      </w:r>
      <w:r w:rsidRPr="00631C88">
        <w:rPr>
          <w:rFonts w:cs="Arial"/>
          <w:vertAlign w:val="superscript"/>
        </w:rPr>
        <w:t>th</w:t>
      </w:r>
      <w:r w:rsidRPr="00631C88">
        <w:rPr>
          <w:rFonts w:cs="Arial"/>
        </w:rPr>
        <w:t xml:space="preserve"> highest out of 16 comparator authorities for the total bed days per 100,000 population aged 18+ (compared with 8</w:t>
      </w:r>
      <w:r w:rsidRPr="00631C88">
        <w:rPr>
          <w:rFonts w:cs="Arial"/>
          <w:vertAlign w:val="superscript"/>
        </w:rPr>
        <w:t>th</w:t>
      </w:r>
      <w:r w:rsidRPr="00631C88">
        <w:rPr>
          <w:rFonts w:cs="Arial"/>
        </w:rPr>
        <w:t xml:space="preserve"> in the previous month).</w:t>
      </w:r>
    </w:p>
    <w:p w:rsidR="00631C88" w:rsidRPr="00631C88" w:rsidRDefault="002E29C1" w:rsidP="00D20769">
      <w:pPr>
        <w:spacing w:after="160" w:line="259" w:lineRule="auto"/>
        <w:rPr>
          <w:rFonts w:cs="Arial"/>
        </w:rPr>
      </w:pPr>
      <w:r w:rsidRPr="00631C88">
        <w:rPr>
          <w:noProof/>
          <w:lang w:eastAsia="en-GB"/>
        </w:rPr>
        <w:drawing>
          <wp:inline distT="0" distB="0" distL="0" distR="0">
            <wp:extent cx="5727700" cy="3104707"/>
            <wp:effectExtent l="0" t="0" r="6350" b="63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20769" w:rsidRPr="008144F5" w:rsidRDefault="002E29C1" w:rsidP="00D20769">
      <w:pPr>
        <w:spacing w:after="160" w:line="259" w:lineRule="auto"/>
        <w:rPr>
          <w:rFonts w:cs="Arial"/>
          <w:b/>
        </w:rPr>
      </w:pPr>
      <w:r w:rsidRPr="00631C88">
        <w:rPr>
          <w:rFonts w:cs="Arial"/>
          <w:b/>
        </w:rPr>
        <w:lastRenderedPageBreak/>
        <w:t xml:space="preserve">Social </w:t>
      </w:r>
      <w:r w:rsidRPr="008144F5">
        <w:rPr>
          <w:rFonts w:cs="Arial"/>
          <w:b/>
        </w:rPr>
        <w:t>Care DToC Bed Days per 100,000 population aged 18+ (lower is best)</w:t>
      </w:r>
    </w:p>
    <w:p w:rsidR="00D20769" w:rsidRPr="008144F5" w:rsidRDefault="002E29C1" w:rsidP="00D20769">
      <w:pPr>
        <w:spacing w:after="160" w:line="259" w:lineRule="auto"/>
        <w:rPr>
          <w:rFonts w:cs="Arial"/>
        </w:rPr>
      </w:pPr>
      <w:r w:rsidRPr="008144F5">
        <w:rPr>
          <w:rFonts w:cs="Arial"/>
        </w:rPr>
        <w:t>In Aug-18 Lancashire were 11</w:t>
      </w:r>
      <w:r w:rsidRPr="008144F5">
        <w:rPr>
          <w:rFonts w:cs="Arial"/>
          <w:vertAlign w:val="superscript"/>
        </w:rPr>
        <w:t>th</w:t>
      </w:r>
      <w:r w:rsidRPr="008144F5">
        <w:rPr>
          <w:rFonts w:cs="Arial"/>
        </w:rPr>
        <w:t xml:space="preserve"> highest out of 23 NW authorities for the social care bed days per 100,000 population aged 18+ (compared with 15</w:t>
      </w:r>
      <w:r w:rsidRPr="008144F5">
        <w:rPr>
          <w:rFonts w:cs="Arial"/>
          <w:vertAlign w:val="superscript"/>
        </w:rPr>
        <w:t>th</w:t>
      </w:r>
      <w:r w:rsidRPr="008144F5">
        <w:rPr>
          <w:rFonts w:cs="Arial"/>
        </w:rPr>
        <w:t xml:space="preserve"> the previous month).</w:t>
      </w:r>
    </w:p>
    <w:p w:rsidR="008144F5" w:rsidRPr="008144F5" w:rsidRDefault="002E29C1" w:rsidP="00D20769">
      <w:pPr>
        <w:spacing w:after="160" w:line="259" w:lineRule="auto"/>
        <w:rPr>
          <w:rFonts w:cs="Arial"/>
        </w:rPr>
      </w:pPr>
      <w:r w:rsidRPr="008144F5">
        <w:rPr>
          <w:noProof/>
          <w:lang w:eastAsia="en-GB"/>
        </w:rPr>
        <w:drawing>
          <wp:inline distT="0" distB="0" distL="0" distR="0">
            <wp:extent cx="5727700" cy="4125433"/>
            <wp:effectExtent l="0" t="0" r="6350" b="889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20769" w:rsidRPr="008144F5" w:rsidRDefault="002E29C1" w:rsidP="00D20769">
      <w:pPr>
        <w:spacing w:after="160" w:line="259" w:lineRule="auto"/>
        <w:rPr>
          <w:rFonts w:cs="Arial"/>
        </w:rPr>
      </w:pPr>
      <w:r w:rsidRPr="008144F5">
        <w:rPr>
          <w:rFonts w:cs="Arial"/>
        </w:rPr>
        <w:t>In Aug-18 Lancashire were 7 highest out of 16 comparator authorities for social care bed days per 100,000 population aged 18+ (compared with 8</w:t>
      </w:r>
      <w:r w:rsidRPr="008144F5">
        <w:rPr>
          <w:rFonts w:cs="Arial"/>
          <w:vertAlign w:val="superscript"/>
        </w:rPr>
        <w:t>th</w:t>
      </w:r>
      <w:r w:rsidRPr="008144F5">
        <w:rPr>
          <w:rFonts w:cs="Arial"/>
        </w:rPr>
        <w:t xml:space="preserve"> in the previous month).</w:t>
      </w:r>
    </w:p>
    <w:p w:rsidR="008144F5" w:rsidRPr="008144F5" w:rsidRDefault="002E29C1" w:rsidP="00D20769">
      <w:pPr>
        <w:spacing w:after="160" w:line="259" w:lineRule="auto"/>
        <w:rPr>
          <w:rFonts w:cs="Arial"/>
        </w:rPr>
      </w:pPr>
      <w:r w:rsidRPr="008144F5">
        <w:rPr>
          <w:noProof/>
          <w:lang w:eastAsia="en-GB"/>
        </w:rPr>
        <w:drawing>
          <wp:inline distT="0" distB="0" distL="0" distR="0">
            <wp:extent cx="5727700" cy="3168502"/>
            <wp:effectExtent l="0" t="0" r="6350" b="1333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20769" w:rsidRPr="008144F5" w:rsidRDefault="002E29C1" w:rsidP="00034822">
      <w:pPr>
        <w:pStyle w:val="Heading1"/>
      </w:pPr>
      <w:bookmarkStart w:id="11" w:name="_Toc520456204"/>
      <w:r w:rsidRPr="008144F5">
        <w:lastRenderedPageBreak/>
        <w:t>Provider Analysis</w:t>
      </w:r>
      <w:bookmarkEnd w:id="11"/>
    </w:p>
    <w:p w:rsidR="002971C1" w:rsidRPr="00B22160" w:rsidRDefault="002E29C1" w:rsidP="002971C1">
      <w:pPr>
        <w:pStyle w:val="Heading2"/>
      </w:pPr>
      <w:bookmarkStart w:id="12" w:name="_Toc520456205"/>
      <w:r w:rsidRPr="008144F5">
        <w:t>Trend An</w:t>
      </w:r>
      <w:r w:rsidRPr="00B22160">
        <w:t>alysis for Lancashire Main Providers</w:t>
      </w:r>
      <w:bookmarkEnd w:id="12"/>
    </w:p>
    <w:p w:rsidR="00D20769" w:rsidRPr="00B22160" w:rsidRDefault="002E29C1" w:rsidP="00D20769">
      <w:pPr>
        <w:rPr>
          <w:rFonts w:cs="Arial"/>
        </w:rPr>
      </w:pPr>
      <w:r w:rsidRPr="00B22160">
        <w:rPr>
          <w:rFonts w:cs="Arial"/>
        </w:rPr>
        <w:t xml:space="preserve">Figures for </w:t>
      </w:r>
      <w:r>
        <w:rPr>
          <w:rFonts w:cs="Arial"/>
        </w:rPr>
        <w:t>Aug</w:t>
      </w:r>
      <w:r w:rsidRPr="00B22160">
        <w:rPr>
          <w:rFonts w:cs="Arial"/>
        </w:rPr>
        <w:t>-18 reveal a slight increase in social care days for Lancashire residents at Lancashire Teaching Hospitals (from 5</w:t>
      </w:r>
      <w:r>
        <w:rPr>
          <w:rFonts w:cs="Arial"/>
        </w:rPr>
        <w:t>44</w:t>
      </w:r>
      <w:r w:rsidRPr="00B22160">
        <w:rPr>
          <w:rFonts w:cs="Arial"/>
        </w:rPr>
        <w:t xml:space="preserve"> to 6</w:t>
      </w:r>
      <w:r>
        <w:rPr>
          <w:rFonts w:cs="Arial"/>
        </w:rPr>
        <w:t>77</w:t>
      </w:r>
      <w:r w:rsidRPr="00B22160">
        <w:rPr>
          <w:rFonts w:cs="Arial"/>
        </w:rPr>
        <w:t>)</w:t>
      </w:r>
      <w:r>
        <w:rPr>
          <w:rFonts w:cs="Arial"/>
        </w:rPr>
        <w:t>,</w:t>
      </w:r>
      <w:r w:rsidRPr="00B22160">
        <w:rPr>
          <w:rFonts w:cs="Arial"/>
        </w:rPr>
        <w:t xml:space="preserve"> </w:t>
      </w:r>
      <w:r w:rsidRPr="00B22160">
        <w:t xml:space="preserve">East Lancashire </w:t>
      </w:r>
      <w:r>
        <w:t xml:space="preserve">(from 103 to 130) </w:t>
      </w:r>
      <w:r w:rsidRPr="00B22160">
        <w:rPr>
          <w:rFonts w:cs="Arial"/>
        </w:rPr>
        <w:t xml:space="preserve">and </w:t>
      </w:r>
      <w:r w:rsidRPr="00B22160">
        <w:t>Morecambe Bay</w:t>
      </w:r>
      <w:r w:rsidRPr="00B22160">
        <w:rPr>
          <w:rFonts w:cs="Arial"/>
        </w:rPr>
        <w:t xml:space="preserve"> too (from 144 to 161)</w:t>
      </w:r>
      <w:r>
        <w:t>.</w:t>
      </w:r>
    </w:p>
    <w:p w:rsidR="00B22160" w:rsidRPr="00B22160" w:rsidRDefault="002E29C1" w:rsidP="00D20769">
      <w:pPr>
        <w:rPr>
          <w:rFonts w:cs="Arial"/>
        </w:rPr>
      </w:pPr>
      <w:r w:rsidRPr="00B22160">
        <w:rPr>
          <w:noProof/>
          <w:lang w:eastAsia="en-GB"/>
        </w:rPr>
        <w:drawing>
          <wp:inline distT="0" distB="0" distL="0" distR="0">
            <wp:extent cx="5836920" cy="3306726"/>
            <wp:effectExtent l="0" t="0" r="11430" b="825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37BD8" w:rsidRPr="00B22160" w:rsidRDefault="00AC7EBD" w:rsidP="00F6226A">
      <w:pPr>
        <w:spacing w:after="0"/>
        <w:rPr>
          <w:rFonts w:cs="Arial"/>
          <w:sz w:val="12"/>
        </w:rPr>
      </w:pP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4"/>
        <w:gridCol w:w="1184"/>
        <w:gridCol w:w="969"/>
        <w:gridCol w:w="970"/>
        <w:gridCol w:w="1349"/>
        <w:gridCol w:w="1064"/>
        <w:gridCol w:w="1331"/>
        <w:gridCol w:w="899"/>
      </w:tblGrid>
      <w:tr w:rsidR="00040D04" w:rsidTr="00057B6B">
        <w:trPr>
          <w:trHeight w:val="190"/>
        </w:trPr>
        <w:tc>
          <w:tcPr>
            <w:tcW w:w="775" w:type="pct"/>
            <w:shd w:val="clear" w:color="4F81BD" w:fill="4F81BD"/>
            <w:noWrap/>
            <w:vAlign w:val="bottom"/>
            <w:hideMark/>
          </w:tcPr>
          <w:p w:rsidR="00175A82" w:rsidRPr="00B22160" w:rsidRDefault="002E29C1" w:rsidP="00EB083A">
            <w:pPr>
              <w:spacing w:after="0"/>
              <w:rPr>
                <w:rFonts w:ascii="Calibri" w:eastAsia="Times New Roman" w:hAnsi="Calibri" w:cs="Times New Roman"/>
                <w:b/>
                <w:bCs/>
                <w:color w:val="FFFFFF"/>
                <w:sz w:val="20"/>
                <w:szCs w:val="20"/>
                <w:lang w:eastAsia="en-GB"/>
              </w:rPr>
            </w:pPr>
            <w:r w:rsidRPr="00B22160">
              <w:rPr>
                <w:rFonts w:ascii="Calibri" w:eastAsia="Times New Roman" w:hAnsi="Calibri" w:cs="Times New Roman"/>
                <w:b/>
                <w:bCs/>
                <w:color w:val="FFFFFF"/>
                <w:sz w:val="20"/>
                <w:szCs w:val="20"/>
                <w:lang w:eastAsia="en-GB"/>
              </w:rPr>
              <w:t>Month</w:t>
            </w:r>
          </w:p>
        </w:tc>
        <w:tc>
          <w:tcPr>
            <w:tcW w:w="644" w:type="pct"/>
            <w:shd w:val="clear" w:color="4F81BD" w:fill="4F81BD"/>
            <w:noWrap/>
            <w:vAlign w:val="bottom"/>
            <w:hideMark/>
          </w:tcPr>
          <w:p w:rsidR="00175A82" w:rsidRPr="00B22160" w:rsidRDefault="002E29C1" w:rsidP="00EB083A">
            <w:pPr>
              <w:spacing w:after="0"/>
              <w:rPr>
                <w:rFonts w:ascii="Calibri" w:eastAsia="Times New Roman" w:hAnsi="Calibri" w:cs="Times New Roman"/>
                <w:b/>
                <w:bCs/>
                <w:color w:val="FFFFFF"/>
                <w:sz w:val="18"/>
                <w:szCs w:val="20"/>
                <w:lang w:eastAsia="en-GB"/>
              </w:rPr>
            </w:pPr>
            <w:r w:rsidRPr="00B22160">
              <w:rPr>
                <w:rFonts w:ascii="Calibri" w:eastAsia="Times New Roman" w:hAnsi="Calibri" w:cs="Times New Roman"/>
                <w:b/>
                <w:bCs/>
                <w:color w:val="FFFFFF"/>
                <w:sz w:val="18"/>
                <w:szCs w:val="20"/>
                <w:lang w:eastAsia="en-GB"/>
              </w:rPr>
              <w:t>BLACKPOOL TEACHING HOSPITALS NHS FOUNDATION TRUST</w:t>
            </w:r>
          </w:p>
        </w:tc>
        <w:tc>
          <w:tcPr>
            <w:tcW w:w="527" w:type="pct"/>
            <w:shd w:val="clear" w:color="4F81BD" w:fill="4F81BD"/>
            <w:noWrap/>
            <w:vAlign w:val="bottom"/>
            <w:hideMark/>
          </w:tcPr>
          <w:p w:rsidR="00175A82" w:rsidRPr="00B22160" w:rsidRDefault="002E29C1" w:rsidP="00EB083A">
            <w:pPr>
              <w:spacing w:after="0"/>
              <w:rPr>
                <w:rFonts w:ascii="Calibri" w:eastAsia="Times New Roman" w:hAnsi="Calibri" w:cs="Times New Roman"/>
                <w:b/>
                <w:bCs/>
                <w:color w:val="FFFFFF"/>
                <w:sz w:val="18"/>
                <w:szCs w:val="20"/>
                <w:lang w:eastAsia="en-GB"/>
              </w:rPr>
            </w:pPr>
            <w:r w:rsidRPr="00B22160">
              <w:rPr>
                <w:rFonts w:ascii="Calibri" w:eastAsia="Times New Roman" w:hAnsi="Calibri" w:cs="Times New Roman"/>
                <w:b/>
                <w:bCs/>
                <w:color w:val="FFFFFF"/>
                <w:sz w:val="18"/>
                <w:szCs w:val="20"/>
                <w:lang w:eastAsia="en-GB"/>
              </w:rPr>
              <w:t>EAST LANCASHIRE HOSPITALS NHS TRUST</w:t>
            </w:r>
          </w:p>
        </w:tc>
        <w:tc>
          <w:tcPr>
            <w:tcW w:w="528" w:type="pct"/>
            <w:shd w:val="clear" w:color="4F81BD" w:fill="4F81BD"/>
            <w:noWrap/>
            <w:vAlign w:val="bottom"/>
            <w:hideMark/>
          </w:tcPr>
          <w:p w:rsidR="00175A82" w:rsidRPr="00B22160" w:rsidRDefault="002E29C1" w:rsidP="00EB083A">
            <w:pPr>
              <w:spacing w:after="0"/>
              <w:rPr>
                <w:rFonts w:ascii="Calibri" w:eastAsia="Times New Roman" w:hAnsi="Calibri" w:cs="Times New Roman"/>
                <w:b/>
                <w:bCs/>
                <w:color w:val="FFFFFF"/>
                <w:sz w:val="18"/>
                <w:szCs w:val="20"/>
                <w:lang w:eastAsia="en-GB"/>
              </w:rPr>
            </w:pPr>
            <w:r w:rsidRPr="00B22160">
              <w:rPr>
                <w:rFonts w:ascii="Calibri" w:eastAsia="Times New Roman" w:hAnsi="Calibri" w:cs="Times New Roman"/>
                <w:b/>
                <w:bCs/>
                <w:color w:val="FFFFFF"/>
                <w:sz w:val="18"/>
                <w:szCs w:val="20"/>
                <w:lang w:eastAsia="en-GB"/>
              </w:rPr>
              <w:t>LANCASHIRE CARE NHS FOUNDATION TRUST</w:t>
            </w:r>
          </w:p>
        </w:tc>
        <w:tc>
          <w:tcPr>
            <w:tcW w:w="734" w:type="pct"/>
            <w:shd w:val="clear" w:color="4F81BD" w:fill="4F81BD"/>
            <w:noWrap/>
            <w:vAlign w:val="bottom"/>
            <w:hideMark/>
          </w:tcPr>
          <w:p w:rsidR="00175A82" w:rsidRPr="00B22160" w:rsidRDefault="002E29C1" w:rsidP="00EB083A">
            <w:pPr>
              <w:spacing w:after="0"/>
              <w:rPr>
                <w:rFonts w:ascii="Calibri" w:eastAsia="Times New Roman" w:hAnsi="Calibri" w:cs="Times New Roman"/>
                <w:b/>
                <w:bCs/>
                <w:color w:val="FFFFFF"/>
                <w:sz w:val="18"/>
                <w:szCs w:val="20"/>
                <w:lang w:eastAsia="en-GB"/>
              </w:rPr>
            </w:pPr>
            <w:r w:rsidRPr="00B22160">
              <w:rPr>
                <w:rFonts w:ascii="Calibri" w:eastAsia="Times New Roman" w:hAnsi="Calibri" w:cs="Times New Roman"/>
                <w:b/>
                <w:bCs/>
                <w:color w:val="FFFFFF"/>
                <w:sz w:val="18"/>
                <w:szCs w:val="20"/>
                <w:lang w:eastAsia="en-GB"/>
              </w:rPr>
              <w:t>LANCASHIRE TEACHING HOSPITALS NHS FOUNDATION TRUST</w:t>
            </w:r>
          </w:p>
        </w:tc>
        <w:tc>
          <w:tcPr>
            <w:tcW w:w="579" w:type="pct"/>
            <w:shd w:val="clear" w:color="4F81BD" w:fill="4F81BD"/>
            <w:noWrap/>
            <w:vAlign w:val="bottom"/>
            <w:hideMark/>
          </w:tcPr>
          <w:p w:rsidR="00175A82" w:rsidRPr="00B22160" w:rsidRDefault="002E29C1" w:rsidP="00EB083A">
            <w:pPr>
              <w:spacing w:after="0"/>
              <w:rPr>
                <w:rFonts w:ascii="Calibri" w:eastAsia="Times New Roman" w:hAnsi="Calibri" w:cs="Times New Roman"/>
                <w:b/>
                <w:bCs/>
                <w:color w:val="FFFFFF"/>
                <w:sz w:val="18"/>
                <w:szCs w:val="20"/>
                <w:lang w:eastAsia="en-GB"/>
              </w:rPr>
            </w:pPr>
            <w:r w:rsidRPr="00B22160">
              <w:rPr>
                <w:rFonts w:ascii="Calibri" w:eastAsia="Times New Roman" w:hAnsi="Calibri" w:cs="Times New Roman"/>
                <w:b/>
                <w:bCs/>
                <w:color w:val="FFFFFF"/>
                <w:sz w:val="18"/>
                <w:szCs w:val="20"/>
                <w:lang w:eastAsia="en-GB"/>
              </w:rPr>
              <w:t>SOUTHPORT AND ORMSKIRK HOSPITAL NHS TRUST</w:t>
            </w:r>
          </w:p>
        </w:tc>
        <w:tc>
          <w:tcPr>
            <w:tcW w:w="724" w:type="pct"/>
            <w:shd w:val="clear" w:color="4F81BD" w:fill="4F81BD"/>
            <w:noWrap/>
            <w:vAlign w:val="bottom"/>
            <w:hideMark/>
          </w:tcPr>
          <w:p w:rsidR="00175A82" w:rsidRPr="00B22160" w:rsidRDefault="002E29C1" w:rsidP="00EB083A">
            <w:pPr>
              <w:spacing w:after="0"/>
              <w:rPr>
                <w:rFonts w:ascii="Calibri" w:eastAsia="Times New Roman" w:hAnsi="Calibri" w:cs="Times New Roman"/>
                <w:b/>
                <w:bCs/>
                <w:color w:val="FFFFFF"/>
                <w:sz w:val="18"/>
                <w:szCs w:val="20"/>
                <w:lang w:eastAsia="en-GB"/>
              </w:rPr>
            </w:pPr>
            <w:r w:rsidRPr="00B22160">
              <w:rPr>
                <w:rFonts w:ascii="Calibri" w:eastAsia="Times New Roman" w:hAnsi="Calibri" w:cs="Times New Roman"/>
                <w:b/>
                <w:bCs/>
                <w:color w:val="FFFFFF"/>
                <w:sz w:val="18"/>
                <w:szCs w:val="20"/>
                <w:lang w:eastAsia="en-GB"/>
              </w:rPr>
              <w:t>UNIVERSITY HOSPITALS OF MORECAMBE BAY NHS FOUNDATION TRUST</w:t>
            </w:r>
          </w:p>
        </w:tc>
        <w:tc>
          <w:tcPr>
            <w:tcW w:w="489" w:type="pct"/>
            <w:shd w:val="clear" w:color="4F81BD" w:fill="4F81BD"/>
            <w:noWrap/>
            <w:vAlign w:val="bottom"/>
            <w:hideMark/>
          </w:tcPr>
          <w:p w:rsidR="00175A82" w:rsidRPr="00B22160" w:rsidRDefault="002E29C1" w:rsidP="00EB083A">
            <w:pPr>
              <w:spacing w:after="0"/>
              <w:rPr>
                <w:rFonts w:ascii="Calibri" w:eastAsia="Times New Roman" w:hAnsi="Calibri" w:cs="Times New Roman"/>
                <w:b/>
                <w:bCs/>
                <w:color w:val="FFFFFF"/>
                <w:sz w:val="20"/>
                <w:szCs w:val="20"/>
                <w:lang w:eastAsia="en-GB"/>
              </w:rPr>
            </w:pPr>
            <w:r w:rsidRPr="00B22160">
              <w:rPr>
                <w:rFonts w:ascii="Calibri" w:eastAsia="Times New Roman" w:hAnsi="Calibri" w:cs="Times New Roman"/>
                <w:b/>
                <w:bCs/>
                <w:color w:val="FFFFFF"/>
                <w:sz w:val="20"/>
                <w:szCs w:val="20"/>
                <w:lang w:eastAsia="en-GB"/>
              </w:rPr>
              <w:t>Grand Total</w:t>
            </w:r>
          </w:p>
        </w:tc>
      </w:tr>
      <w:tr w:rsidR="00040D04" w:rsidTr="00057B6B">
        <w:trPr>
          <w:trHeight w:val="20"/>
        </w:trPr>
        <w:tc>
          <w:tcPr>
            <w:tcW w:w="775" w:type="pct"/>
            <w:shd w:val="clear" w:color="auto" w:fill="D9D9D9" w:themeFill="background1" w:themeFillShade="D9"/>
            <w:noWrap/>
            <w:vAlign w:val="bottom"/>
          </w:tcPr>
          <w:p w:rsidR="00175A82" w:rsidRPr="00B22160" w:rsidRDefault="002E29C1" w:rsidP="00EB083A">
            <w:pPr>
              <w:spacing w:after="0"/>
              <w:rPr>
                <w:rFonts w:ascii="Calibri" w:hAnsi="Calibri"/>
                <w:sz w:val="20"/>
                <w:szCs w:val="20"/>
              </w:rPr>
            </w:pPr>
            <w:r w:rsidRPr="00B22160">
              <w:rPr>
                <w:rFonts w:ascii="Calibri" w:eastAsia="Times New Roman" w:hAnsi="Calibri" w:cs="Times New Roman"/>
                <w:b/>
                <w:bCs/>
                <w:sz w:val="20"/>
                <w:szCs w:val="20"/>
                <w:lang w:eastAsia="en-GB"/>
              </w:rPr>
              <w:t>2017-18</w:t>
            </w:r>
          </w:p>
        </w:tc>
        <w:tc>
          <w:tcPr>
            <w:tcW w:w="644" w:type="pct"/>
            <w:shd w:val="clear" w:color="auto" w:fill="D9D9D9" w:themeFill="background1" w:themeFillShade="D9"/>
            <w:noWrap/>
            <w:vAlign w:val="bottom"/>
          </w:tcPr>
          <w:p w:rsidR="00175A82" w:rsidRPr="00B22160" w:rsidRDefault="00AC7EBD" w:rsidP="00EB083A">
            <w:pPr>
              <w:spacing w:after="0"/>
              <w:ind w:firstLineChars="100" w:firstLine="200"/>
              <w:rPr>
                <w:rFonts w:ascii="Calibri" w:hAnsi="Calibri"/>
                <w:sz w:val="20"/>
                <w:szCs w:val="20"/>
              </w:rPr>
            </w:pPr>
          </w:p>
        </w:tc>
        <w:tc>
          <w:tcPr>
            <w:tcW w:w="527" w:type="pct"/>
            <w:shd w:val="clear" w:color="auto" w:fill="D9D9D9" w:themeFill="background1" w:themeFillShade="D9"/>
            <w:noWrap/>
            <w:vAlign w:val="bottom"/>
          </w:tcPr>
          <w:p w:rsidR="00175A82" w:rsidRPr="00B22160" w:rsidRDefault="00AC7EBD" w:rsidP="00EB083A">
            <w:pPr>
              <w:spacing w:after="0"/>
              <w:ind w:firstLineChars="100" w:firstLine="200"/>
              <w:rPr>
                <w:rFonts w:ascii="Calibri" w:hAnsi="Calibri"/>
                <w:sz w:val="20"/>
                <w:szCs w:val="20"/>
              </w:rPr>
            </w:pPr>
          </w:p>
        </w:tc>
        <w:tc>
          <w:tcPr>
            <w:tcW w:w="528" w:type="pct"/>
            <w:shd w:val="clear" w:color="auto" w:fill="D9D9D9" w:themeFill="background1" w:themeFillShade="D9"/>
            <w:noWrap/>
            <w:vAlign w:val="bottom"/>
          </w:tcPr>
          <w:p w:rsidR="00175A82" w:rsidRPr="00B22160" w:rsidRDefault="00AC7EBD" w:rsidP="00EB083A">
            <w:pPr>
              <w:spacing w:after="0"/>
              <w:ind w:firstLineChars="100" w:firstLine="200"/>
              <w:rPr>
                <w:rFonts w:ascii="Calibri" w:hAnsi="Calibri"/>
                <w:sz w:val="20"/>
                <w:szCs w:val="20"/>
              </w:rPr>
            </w:pPr>
          </w:p>
        </w:tc>
        <w:tc>
          <w:tcPr>
            <w:tcW w:w="734" w:type="pct"/>
            <w:shd w:val="clear" w:color="auto" w:fill="D9D9D9" w:themeFill="background1" w:themeFillShade="D9"/>
            <w:noWrap/>
            <w:vAlign w:val="bottom"/>
          </w:tcPr>
          <w:p w:rsidR="00175A82" w:rsidRPr="00B22160" w:rsidRDefault="00AC7EBD" w:rsidP="00EB083A">
            <w:pPr>
              <w:spacing w:after="0"/>
              <w:ind w:firstLineChars="100" w:firstLine="200"/>
              <w:rPr>
                <w:rFonts w:ascii="Calibri" w:hAnsi="Calibri"/>
                <w:sz w:val="20"/>
                <w:szCs w:val="20"/>
              </w:rPr>
            </w:pPr>
          </w:p>
        </w:tc>
        <w:tc>
          <w:tcPr>
            <w:tcW w:w="579" w:type="pct"/>
            <w:shd w:val="clear" w:color="auto" w:fill="D9D9D9" w:themeFill="background1" w:themeFillShade="D9"/>
            <w:noWrap/>
            <w:vAlign w:val="bottom"/>
          </w:tcPr>
          <w:p w:rsidR="00175A82" w:rsidRPr="00B22160" w:rsidRDefault="00AC7EBD" w:rsidP="00EB083A">
            <w:pPr>
              <w:spacing w:after="0"/>
              <w:ind w:firstLineChars="100" w:firstLine="200"/>
              <w:rPr>
                <w:rFonts w:ascii="Calibri" w:hAnsi="Calibri"/>
                <w:sz w:val="20"/>
                <w:szCs w:val="20"/>
              </w:rPr>
            </w:pPr>
          </w:p>
        </w:tc>
        <w:tc>
          <w:tcPr>
            <w:tcW w:w="724" w:type="pct"/>
            <w:shd w:val="clear" w:color="auto" w:fill="D9D9D9" w:themeFill="background1" w:themeFillShade="D9"/>
            <w:noWrap/>
            <w:vAlign w:val="bottom"/>
          </w:tcPr>
          <w:p w:rsidR="00175A82" w:rsidRPr="00B22160" w:rsidRDefault="00AC7EBD" w:rsidP="00EB083A">
            <w:pPr>
              <w:spacing w:after="0"/>
              <w:ind w:firstLineChars="100" w:firstLine="200"/>
              <w:rPr>
                <w:rFonts w:ascii="Calibri" w:hAnsi="Calibri"/>
                <w:sz w:val="20"/>
                <w:szCs w:val="20"/>
              </w:rPr>
            </w:pPr>
          </w:p>
        </w:tc>
        <w:tc>
          <w:tcPr>
            <w:tcW w:w="489" w:type="pct"/>
            <w:shd w:val="clear" w:color="auto" w:fill="D9D9D9" w:themeFill="background1" w:themeFillShade="D9"/>
            <w:noWrap/>
            <w:vAlign w:val="bottom"/>
          </w:tcPr>
          <w:p w:rsidR="00175A82" w:rsidRPr="00B22160" w:rsidRDefault="00AC7EBD" w:rsidP="00EB083A">
            <w:pPr>
              <w:spacing w:after="0"/>
              <w:ind w:firstLineChars="100" w:firstLine="200"/>
              <w:rPr>
                <w:rFonts w:ascii="Calibri" w:hAnsi="Calibri"/>
                <w:sz w:val="20"/>
                <w:szCs w:val="20"/>
              </w:rPr>
            </w:pPr>
          </w:p>
        </w:tc>
      </w:tr>
      <w:tr w:rsidR="00040D04" w:rsidTr="00057B6B">
        <w:trPr>
          <w:trHeight w:val="20"/>
        </w:trPr>
        <w:tc>
          <w:tcPr>
            <w:tcW w:w="775" w:type="pct"/>
            <w:shd w:val="clear" w:color="auto" w:fill="auto"/>
            <w:noWrap/>
            <w:vAlign w:val="bottom"/>
          </w:tcPr>
          <w:p w:rsidR="002C03FD" w:rsidRPr="00B22160" w:rsidRDefault="002E29C1" w:rsidP="002C03FD">
            <w:pPr>
              <w:autoSpaceDE/>
              <w:autoSpaceDN/>
              <w:adjustRightInd/>
              <w:spacing w:after="0"/>
              <w:ind w:firstLineChars="100" w:firstLine="200"/>
              <w:jc w:val="left"/>
              <w:rPr>
                <w:rFonts w:ascii="Calibri" w:eastAsia="Times New Roman" w:hAnsi="Calibri" w:cs="Times New Roman"/>
                <w:sz w:val="20"/>
                <w:szCs w:val="22"/>
                <w:lang w:eastAsia="en-GB"/>
              </w:rPr>
            </w:pPr>
            <w:r w:rsidRPr="00B22160">
              <w:rPr>
                <w:rFonts w:ascii="Calibri" w:hAnsi="Calibri"/>
                <w:sz w:val="20"/>
                <w:szCs w:val="22"/>
              </w:rPr>
              <w:t>APRIL</w:t>
            </w:r>
          </w:p>
        </w:tc>
        <w:tc>
          <w:tcPr>
            <w:tcW w:w="644"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199</w:t>
            </w:r>
          </w:p>
        </w:tc>
        <w:tc>
          <w:tcPr>
            <w:tcW w:w="527"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461</w:t>
            </w:r>
          </w:p>
        </w:tc>
        <w:tc>
          <w:tcPr>
            <w:tcW w:w="528"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133</w:t>
            </w:r>
          </w:p>
        </w:tc>
        <w:tc>
          <w:tcPr>
            <w:tcW w:w="734"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1104</w:t>
            </w:r>
          </w:p>
        </w:tc>
        <w:tc>
          <w:tcPr>
            <w:tcW w:w="579"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0</w:t>
            </w:r>
          </w:p>
        </w:tc>
        <w:tc>
          <w:tcPr>
            <w:tcW w:w="724"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131</w:t>
            </w:r>
          </w:p>
        </w:tc>
        <w:tc>
          <w:tcPr>
            <w:tcW w:w="489"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2028</w:t>
            </w:r>
          </w:p>
        </w:tc>
      </w:tr>
      <w:tr w:rsidR="00040D04" w:rsidTr="00057B6B">
        <w:trPr>
          <w:trHeight w:val="20"/>
        </w:trPr>
        <w:tc>
          <w:tcPr>
            <w:tcW w:w="775" w:type="pct"/>
            <w:shd w:val="clear" w:color="auto" w:fill="auto"/>
            <w:noWrap/>
            <w:vAlign w:val="bottom"/>
          </w:tcPr>
          <w:p w:rsidR="002C03FD" w:rsidRPr="00B22160" w:rsidRDefault="002E29C1" w:rsidP="002C03FD">
            <w:pPr>
              <w:spacing w:after="0"/>
              <w:ind w:firstLineChars="100" w:firstLine="200"/>
              <w:jc w:val="left"/>
              <w:rPr>
                <w:rFonts w:ascii="Calibri" w:hAnsi="Calibri"/>
                <w:sz w:val="20"/>
                <w:szCs w:val="22"/>
              </w:rPr>
            </w:pPr>
            <w:r w:rsidRPr="00B22160">
              <w:rPr>
                <w:rFonts w:ascii="Calibri" w:hAnsi="Calibri"/>
                <w:sz w:val="20"/>
                <w:szCs w:val="22"/>
              </w:rPr>
              <w:t>MAY</w:t>
            </w:r>
          </w:p>
        </w:tc>
        <w:tc>
          <w:tcPr>
            <w:tcW w:w="644"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241</w:t>
            </w:r>
          </w:p>
        </w:tc>
        <w:tc>
          <w:tcPr>
            <w:tcW w:w="527"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366</w:t>
            </w:r>
          </w:p>
        </w:tc>
        <w:tc>
          <w:tcPr>
            <w:tcW w:w="528"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146</w:t>
            </w:r>
          </w:p>
        </w:tc>
        <w:tc>
          <w:tcPr>
            <w:tcW w:w="734"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1446</w:t>
            </w:r>
          </w:p>
        </w:tc>
        <w:tc>
          <w:tcPr>
            <w:tcW w:w="579"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0</w:t>
            </w:r>
          </w:p>
        </w:tc>
        <w:tc>
          <w:tcPr>
            <w:tcW w:w="724"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241</w:t>
            </w:r>
          </w:p>
        </w:tc>
        <w:tc>
          <w:tcPr>
            <w:tcW w:w="489"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2440</w:t>
            </w:r>
          </w:p>
        </w:tc>
      </w:tr>
      <w:tr w:rsidR="00040D04" w:rsidTr="00057B6B">
        <w:trPr>
          <w:trHeight w:val="20"/>
        </w:trPr>
        <w:tc>
          <w:tcPr>
            <w:tcW w:w="775" w:type="pct"/>
            <w:shd w:val="clear" w:color="auto" w:fill="auto"/>
            <w:noWrap/>
            <w:vAlign w:val="bottom"/>
          </w:tcPr>
          <w:p w:rsidR="002C03FD" w:rsidRPr="00B22160" w:rsidRDefault="002E29C1" w:rsidP="002C03FD">
            <w:pPr>
              <w:spacing w:after="0"/>
              <w:ind w:firstLineChars="100" w:firstLine="200"/>
              <w:jc w:val="left"/>
              <w:rPr>
                <w:rFonts w:ascii="Calibri" w:hAnsi="Calibri"/>
                <w:sz w:val="20"/>
                <w:szCs w:val="22"/>
              </w:rPr>
            </w:pPr>
            <w:r w:rsidRPr="00B22160">
              <w:rPr>
                <w:rFonts w:ascii="Calibri" w:hAnsi="Calibri"/>
                <w:sz w:val="20"/>
                <w:szCs w:val="22"/>
              </w:rPr>
              <w:t>JUNE</w:t>
            </w:r>
          </w:p>
        </w:tc>
        <w:tc>
          <w:tcPr>
            <w:tcW w:w="644"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139</w:t>
            </w:r>
          </w:p>
        </w:tc>
        <w:tc>
          <w:tcPr>
            <w:tcW w:w="527"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399</w:t>
            </w:r>
          </w:p>
        </w:tc>
        <w:tc>
          <w:tcPr>
            <w:tcW w:w="528"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140</w:t>
            </w:r>
          </w:p>
        </w:tc>
        <w:tc>
          <w:tcPr>
            <w:tcW w:w="734"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1475</w:t>
            </w:r>
          </w:p>
        </w:tc>
        <w:tc>
          <w:tcPr>
            <w:tcW w:w="579"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0</w:t>
            </w:r>
          </w:p>
        </w:tc>
        <w:tc>
          <w:tcPr>
            <w:tcW w:w="724"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194</w:t>
            </w:r>
          </w:p>
        </w:tc>
        <w:tc>
          <w:tcPr>
            <w:tcW w:w="489"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2347</w:t>
            </w:r>
          </w:p>
        </w:tc>
      </w:tr>
      <w:tr w:rsidR="00040D04" w:rsidTr="00057B6B">
        <w:trPr>
          <w:trHeight w:val="20"/>
        </w:trPr>
        <w:tc>
          <w:tcPr>
            <w:tcW w:w="775" w:type="pct"/>
            <w:shd w:val="clear" w:color="auto" w:fill="auto"/>
            <w:noWrap/>
            <w:vAlign w:val="bottom"/>
          </w:tcPr>
          <w:p w:rsidR="002C03FD" w:rsidRPr="00B22160" w:rsidRDefault="002E29C1" w:rsidP="002C03FD">
            <w:pPr>
              <w:spacing w:after="0"/>
              <w:ind w:firstLineChars="100" w:firstLine="200"/>
              <w:jc w:val="left"/>
              <w:rPr>
                <w:rFonts w:ascii="Calibri" w:hAnsi="Calibri"/>
                <w:sz w:val="20"/>
                <w:szCs w:val="22"/>
              </w:rPr>
            </w:pPr>
            <w:r w:rsidRPr="00B22160">
              <w:rPr>
                <w:rFonts w:ascii="Calibri" w:hAnsi="Calibri"/>
                <w:sz w:val="20"/>
                <w:szCs w:val="22"/>
              </w:rPr>
              <w:t>JULY</w:t>
            </w:r>
          </w:p>
        </w:tc>
        <w:tc>
          <w:tcPr>
            <w:tcW w:w="644"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153</w:t>
            </w:r>
          </w:p>
        </w:tc>
        <w:tc>
          <w:tcPr>
            <w:tcW w:w="527"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283</w:t>
            </w:r>
          </w:p>
        </w:tc>
        <w:tc>
          <w:tcPr>
            <w:tcW w:w="528"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170</w:t>
            </w:r>
          </w:p>
        </w:tc>
        <w:tc>
          <w:tcPr>
            <w:tcW w:w="734"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1982</w:t>
            </w:r>
          </w:p>
        </w:tc>
        <w:tc>
          <w:tcPr>
            <w:tcW w:w="579"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0</w:t>
            </w:r>
          </w:p>
        </w:tc>
        <w:tc>
          <w:tcPr>
            <w:tcW w:w="724"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147</w:t>
            </w:r>
          </w:p>
        </w:tc>
        <w:tc>
          <w:tcPr>
            <w:tcW w:w="489"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2735</w:t>
            </w:r>
          </w:p>
        </w:tc>
      </w:tr>
      <w:tr w:rsidR="00040D04" w:rsidTr="00057B6B">
        <w:trPr>
          <w:trHeight w:val="20"/>
        </w:trPr>
        <w:tc>
          <w:tcPr>
            <w:tcW w:w="775" w:type="pct"/>
            <w:shd w:val="clear" w:color="auto" w:fill="auto"/>
            <w:noWrap/>
            <w:vAlign w:val="bottom"/>
          </w:tcPr>
          <w:p w:rsidR="002C03FD" w:rsidRPr="00B22160" w:rsidRDefault="002E29C1" w:rsidP="002C03FD">
            <w:pPr>
              <w:spacing w:after="0"/>
              <w:ind w:firstLineChars="100" w:firstLine="200"/>
              <w:jc w:val="left"/>
              <w:rPr>
                <w:rFonts w:ascii="Calibri" w:hAnsi="Calibri"/>
                <w:sz w:val="20"/>
                <w:szCs w:val="22"/>
              </w:rPr>
            </w:pPr>
            <w:r w:rsidRPr="00B22160">
              <w:rPr>
                <w:rFonts w:ascii="Calibri" w:hAnsi="Calibri"/>
                <w:sz w:val="20"/>
                <w:szCs w:val="22"/>
              </w:rPr>
              <w:t>AUGUST</w:t>
            </w:r>
          </w:p>
        </w:tc>
        <w:tc>
          <w:tcPr>
            <w:tcW w:w="644"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117</w:t>
            </w:r>
          </w:p>
        </w:tc>
        <w:tc>
          <w:tcPr>
            <w:tcW w:w="527"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340</w:t>
            </w:r>
          </w:p>
        </w:tc>
        <w:tc>
          <w:tcPr>
            <w:tcW w:w="528"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157</w:t>
            </w:r>
          </w:p>
        </w:tc>
        <w:tc>
          <w:tcPr>
            <w:tcW w:w="734"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1468</w:t>
            </w:r>
          </w:p>
        </w:tc>
        <w:tc>
          <w:tcPr>
            <w:tcW w:w="579"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0</w:t>
            </w:r>
          </w:p>
        </w:tc>
        <w:tc>
          <w:tcPr>
            <w:tcW w:w="724"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97</w:t>
            </w:r>
          </w:p>
        </w:tc>
        <w:tc>
          <w:tcPr>
            <w:tcW w:w="489"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2179</w:t>
            </w:r>
          </w:p>
        </w:tc>
      </w:tr>
      <w:tr w:rsidR="00040D04" w:rsidTr="00057B6B">
        <w:trPr>
          <w:trHeight w:val="20"/>
        </w:trPr>
        <w:tc>
          <w:tcPr>
            <w:tcW w:w="775" w:type="pct"/>
            <w:shd w:val="clear" w:color="auto" w:fill="auto"/>
            <w:noWrap/>
            <w:vAlign w:val="bottom"/>
          </w:tcPr>
          <w:p w:rsidR="002C03FD" w:rsidRPr="00B22160" w:rsidRDefault="002E29C1" w:rsidP="002C03FD">
            <w:pPr>
              <w:spacing w:after="0"/>
              <w:ind w:firstLineChars="100" w:firstLine="200"/>
              <w:jc w:val="left"/>
              <w:rPr>
                <w:rFonts w:ascii="Calibri" w:hAnsi="Calibri"/>
                <w:sz w:val="20"/>
                <w:szCs w:val="22"/>
              </w:rPr>
            </w:pPr>
            <w:r w:rsidRPr="00B22160">
              <w:rPr>
                <w:rFonts w:ascii="Calibri" w:hAnsi="Calibri"/>
                <w:sz w:val="20"/>
                <w:szCs w:val="22"/>
              </w:rPr>
              <w:t>SEPTEMBER</w:t>
            </w:r>
          </w:p>
        </w:tc>
        <w:tc>
          <w:tcPr>
            <w:tcW w:w="644"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234</w:t>
            </w:r>
          </w:p>
        </w:tc>
        <w:tc>
          <w:tcPr>
            <w:tcW w:w="527"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247</w:t>
            </w:r>
          </w:p>
        </w:tc>
        <w:tc>
          <w:tcPr>
            <w:tcW w:w="528"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136</w:t>
            </w:r>
          </w:p>
        </w:tc>
        <w:tc>
          <w:tcPr>
            <w:tcW w:w="734"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1323</w:t>
            </w:r>
          </w:p>
        </w:tc>
        <w:tc>
          <w:tcPr>
            <w:tcW w:w="579"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0</w:t>
            </w:r>
          </w:p>
        </w:tc>
        <w:tc>
          <w:tcPr>
            <w:tcW w:w="724"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154</w:t>
            </w:r>
          </w:p>
        </w:tc>
        <w:tc>
          <w:tcPr>
            <w:tcW w:w="489"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2094</w:t>
            </w:r>
          </w:p>
        </w:tc>
      </w:tr>
      <w:tr w:rsidR="00040D04" w:rsidTr="00057B6B">
        <w:trPr>
          <w:trHeight w:val="20"/>
        </w:trPr>
        <w:tc>
          <w:tcPr>
            <w:tcW w:w="775" w:type="pct"/>
            <w:shd w:val="clear" w:color="auto" w:fill="auto"/>
            <w:noWrap/>
            <w:vAlign w:val="bottom"/>
          </w:tcPr>
          <w:p w:rsidR="002C03FD" w:rsidRPr="00B22160" w:rsidRDefault="002E29C1" w:rsidP="002C03FD">
            <w:pPr>
              <w:spacing w:after="0"/>
              <w:ind w:firstLineChars="100" w:firstLine="200"/>
              <w:jc w:val="left"/>
              <w:rPr>
                <w:rFonts w:ascii="Calibri" w:hAnsi="Calibri"/>
                <w:sz w:val="20"/>
                <w:szCs w:val="22"/>
              </w:rPr>
            </w:pPr>
            <w:r w:rsidRPr="00B22160">
              <w:rPr>
                <w:rFonts w:ascii="Calibri" w:hAnsi="Calibri"/>
                <w:sz w:val="20"/>
                <w:szCs w:val="22"/>
              </w:rPr>
              <w:t>OCTOBER</w:t>
            </w:r>
          </w:p>
        </w:tc>
        <w:tc>
          <w:tcPr>
            <w:tcW w:w="644"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196</w:t>
            </w:r>
          </w:p>
        </w:tc>
        <w:tc>
          <w:tcPr>
            <w:tcW w:w="527"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108</w:t>
            </w:r>
          </w:p>
        </w:tc>
        <w:tc>
          <w:tcPr>
            <w:tcW w:w="528"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127</w:t>
            </w:r>
          </w:p>
        </w:tc>
        <w:tc>
          <w:tcPr>
            <w:tcW w:w="734"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1093</w:t>
            </w:r>
          </w:p>
        </w:tc>
        <w:tc>
          <w:tcPr>
            <w:tcW w:w="579"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4</w:t>
            </w:r>
          </w:p>
        </w:tc>
        <w:tc>
          <w:tcPr>
            <w:tcW w:w="724"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202</w:t>
            </w:r>
          </w:p>
        </w:tc>
        <w:tc>
          <w:tcPr>
            <w:tcW w:w="489"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1730</w:t>
            </w:r>
          </w:p>
        </w:tc>
      </w:tr>
      <w:tr w:rsidR="00040D04" w:rsidTr="00057B6B">
        <w:trPr>
          <w:trHeight w:val="20"/>
        </w:trPr>
        <w:tc>
          <w:tcPr>
            <w:tcW w:w="775" w:type="pct"/>
            <w:shd w:val="clear" w:color="auto" w:fill="auto"/>
            <w:noWrap/>
            <w:vAlign w:val="bottom"/>
          </w:tcPr>
          <w:p w:rsidR="002C03FD" w:rsidRPr="00B22160" w:rsidRDefault="002E29C1" w:rsidP="002C03FD">
            <w:pPr>
              <w:spacing w:after="0"/>
              <w:ind w:firstLineChars="100" w:firstLine="200"/>
              <w:jc w:val="left"/>
              <w:rPr>
                <w:rFonts w:ascii="Calibri" w:hAnsi="Calibri"/>
                <w:sz w:val="20"/>
                <w:szCs w:val="22"/>
              </w:rPr>
            </w:pPr>
            <w:r w:rsidRPr="00B22160">
              <w:rPr>
                <w:rFonts w:ascii="Calibri" w:hAnsi="Calibri"/>
                <w:sz w:val="20"/>
                <w:szCs w:val="22"/>
              </w:rPr>
              <w:t>NOVEMBER</w:t>
            </w:r>
          </w:p>
        </w:tc>
        <w:tc>
          <w:tcPr>
            <w:tcW w:w="644"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225</w:t>
            </w:r>
          </w:p>
        </w:tc>
        <w:tc>
          <w:tcPr>
            <w:tcW w:w="527"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220</w:t>
            </w:r>
          </w:p>
        </w:tc>
        <w:tc>
          <w:tcPr>
            <w:tcW w:w="528"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120</w:t>
            </w:r>
          </w:p>
        </w:tc>
        <w:tc>
          <w:tcPr>
            <w:tcW w:w="734"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1151</w:t>
            </w:r>
          </w:p>
        </w:tc>
        <w:tc>
          <w:tcPr>
            <w:tcW w:w="579"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1</w:t>
            </w:r>
          </w:p>
        </w:tc>
        <w:tc>
          <w:tcPr>
            <w:tcW w:w="724"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104</w:t>
            </w:r>
          </w:p>
        </w:tc>
        <w:tc>
          <w:tcPr>
            <w:tcW w:w="489"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1821</w:t>
            </w:r>
          </w:p>
        </w:tc>
      </w:tr>
      <w:tr w:rsidR="00040D04" w:rsidTr="00057B6B">
        <w:trPr>
          <w:trHeight w:val="20"/>
        </w:trPr>
        <w:tc>
          <w:tcPr>
            <w:tcW w:w="775" w:type="pct"/>
            <w:shd w:val="clear" w:color="auto" w:fill="auto"/>
            <w:noWrap/>
            <w:vAlign w:val="bottom"/>
          </w:tcPr>
          <w:p w:rsidR="002C03FD" w:rsidRPr="00B22160" w:rsidRDefault="002E29C1" w:rsidP="002C03FD">
            <w:pPr>
              <w:spacing w:after="0"/>
              <w:ind w:firstLineChars="100" w:firstLine="200"/>
              <w:jc w:val="left"/>
              <w:rPr>
                <w:rFonts w:ascii="Calibri" w:hAnsi="Calibri"/>
                <w:sz w:val="20"/>
                <w:szCs w:val="22"/>
              </w:rPr>
            </w:pPr>
            <w:r w:rsidRPr="00B22160">
              <w:rPr>
                <w:rFonts w:ascii="Calibri" w:hAnsi="Calibri"/>
                <w:sz w:val="20"/>
                <w:szCs w:val="22"/>
              </w:rPr>
              <w:t>DECEMBER</w:t>
            </w:r>
          </w:p>
        </w:tc>
        <w:tc>
          <w:tcPr>
            <w:tcW w:w="644"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230</w:t>
            </w:r>
          </w:p>
        </w:tc>
        <w:tc>
          <w:tcPr>
            <w:tcW w:w="527"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114</w:t>
            </w:r>
          </w:p>
        </w:tc>
        <w:tc>
          <w:tcPr>
            <w:tcW w:w="528"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68</w:t>
            </w:r>
          </w:p>
        </w:tc>
        <w:tc>
          <w:tcPr>
            <w:tcW w:w="734"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1143</w:t>
            </w:r>
          </w:p>
        </w:tc>
        <w:tc>
          <w:tcPr>
            <w:tcW w:w="579"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4</w:t>
            </w:r>
          </w:p>
        </w:tc>
        <w:tc>
          <w:tcPr>
            <w:tcW w:w="724"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173</w:t>
            </w:r>
          </w:p>
        </w:tc>
        <w:tc>
          <w:tcPr>
            <w:tcW w:w="489"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1732</w:t>
            </w:r>
          </w:p>
        </w:tc>
      </w:tr>
      <w:tr w:rsidR="00040D04" w:rsidTr="00057B6B">
        <w:trPr>
          <w:trHeight w:val="20"/>
        </w:trPr>
        <w:tc>
          <w:tcPr>
            <w:tcW w:w="775" w:type="pct"/>
            <w:shd w:val="clear" w:color="auto" w:fill="auto"/>
            <w:noWrap/>
            <w:vAlign w:val="bottom"/>
          </w:tcPr>
          <w:p w:rsidR="002C03FD" w:rsidRPr="00B22160" w:rsidRDefault="002E29C1" w:rsidP="002C03FD">
            <w:pPr>
              <w:spacing w:after="0"/>
              <w:ind w:firstLineChars="100" w:firstLine="200"/>
              <w:jc w:val="left"/>
              <w:rPr>
                <w:rFonts w:ascii="Calibri" w:hAnsi="Calibri"/>
                <w:sz w:val="20"/>
                <w:szCs w:val="22"/>
              </w:rPr>
            </w:pPr>
            <w:r w:rsidRPr="00B22160">
              <w:rPr>
                <w:rFonts w:ascii="Calibri" w:hAnsi="Calibri"/>
                <w:sz w:val="20"/>
                <w:szCs w:val="22"/>
              </w:rPr>
              <w:t>JANUARY</w:t>
            </w:r>
          </w:p>
        </w:tc>
        <w:tc>
          <w:tcPr>
            <w:tcW w:w="644"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149</w:t>
            </w:r>
          </w:p>
        </w:tc>
        <w:tc>
          <w:tcPr>
            <w:tcW w:w="527"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66</w:t>
            </w:r>
          </w:p>
        </w:tc>
        <w:tc>
          <w:tcPr>
            <w:tcW w:w="528"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102</w:t>
            </w:r>
          </w:p>
        </w:tc>
        <w:tc>
          <w:tcPr>
            <w:tcW w:w="734"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1052</w:t>
            </w:r>
          </w:p>
        </w:tc>
        <w:tc>
          <w:tcPr>
            <w:tcW w:w="579"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4</w:t>
            </w:r>
          </w:p>
        </w:tc>
        <w:tc>
          <w:tcPr>
            <w:tcW w:w="724"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154</w:t>
            </w:r>
          </w:p>
        </w:tc>
        <w:tc>
          <w:tcPr>
            <w:tcW w:w="489"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1527</w:t>
            </w:r>
          </w:p>
        </w:tc>
      </w:tr>
      <w:tr w:rsidR="00040D04" w:rsidTr="00057B6B">
        <w:trPr>
          <w:trHeight w:val="20"/>
        </w:trPr>
        <w:tc>
          <w:tcPr>
            <w:tcW w:w="775" w:type="pct"/>
            <w:shd w:val="clear" w:color="auto" w:fill="auto"/>
            <w:noWrap/>
            <w:vAlign w:val="bottom"/>
          </w:tcPr>
          <w:p w:rsidR="002C03FD" w:rsidRPr="00B22160" w:rsidRDefault="002E29C1" w:rsidP="002C03FD">
            <w:pPr>
              <w:spacing w:after="0"/>
              <w:ind w:firstLineChars="100" w:firstLine="200"/>
              <w:jc w:val="left"/>
              <w:rPr>
                <w:rFonts w:ascii="Calibri" w:hAnsi="Calibri"/>
                <w:sz w:val="20"/>
                <w:szCs w:val="22"/>
              </w:rPr>
            </w:pPr>
            <w:r w:rsidRPr="00B22160">
              <w:rPr>
                <w:rFonts w:ascii="Calibri" w:hAnsi="Calibri"/>
                <w:sz w:val="20"/>
                <w:szCs w:val="22"/>
              </w:rPr>
              <w:t>FEBRUARY</w:t>
            </w:r>
          </w:p>
        </w:tc>
        <w:tc>
          <w:tcPr>
            <w:tcW w:w="644"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99</w:t>
            </w:r>
          </w:p>
        </w:tc>
        <w:tc>
          <w:tcPr>
            <w:tcW w:w="527"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42</w:t>
            </w:r>
          </w:p>
        </w:tc>
        <w:tc>
          <w:tcPr>
            <w:tcW w:w="528"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46</w:t>
            </w:r>
          </w:p>
        </w:tc>
        <w:tc>
          <w:tcPr>
            <w:tcW w:w="734"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734</w:t>
            </w:r>
          </w:p>
        </w:tc>
        <w:tc>
          <w:tcPr>
            <w:tcW w:w="579"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0</w:t>
            </w:r>
          </w:p>
        </w:tc>
        <w:tc>
          <w:tcPr>
            <w:tcW w:w="724"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170</w:t>
            </w:r>
          </w:p>
        </w:tc>
        <w:tc>
          <w:tcPr>
            <w:tcW w:w="489"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1091</w:t>
            </w:r>
          </w:p>
        </w:tc>
      </w:tr>
      <w:tr w:rsidR="00040D04" w:rsidTr="00057B6B">
        <w:trPr>
          <w:trHeight w:val="20"/>
        </w:trPr>
        <w:tc>
          <w:tcPr>
            <w:tcW w:w="775" w:type="pct"/>
            <w:shd w:val="clear" w:color="auto" w:fill="auto"/>
            <w:noWrap/>
            <w:vAlign w:val="bottom"/>
          </w:tcPr>
          <w:p w:rsidR="002C03FD" w:rsidRPr="00B22160" w:rsidRDefault="002E29C1" w:rsidP="002C03FD">
            <w:pPr>
              <w:spacing w:after="0"/>
              <w:ind w:firstLineChars="100" w:firstLine="200"/>
              <w:jc w:val="left"/>
              <w:rPr>
                <w:rFonts w:ascii="Calibri" w:hAnsi="Calibri"/>
                <w:sz w:val="20"/>
                <w:szCs w:val="22"/>
              </w:rPr>
            </w:pPr>
            <w:r w:rsidRPr="00B22160">
              <w:rPr>
                <w:rFonts w:ascii="Calibri" w:hAnsi="Calibri"/>
                <w:sz w:val="20"/>
                <w:szCs w:val="22"/>
              </w:rPr>
              <w:t>MARCH</w:t>
            </w:r>
          </w:p>
        </w:tc>
        <w:tc>
          <w:tcPr>
            <w:tcW w:w="644"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169</w:t>
            </w:r>
          </w:p>
        </w:tc>
        <w:tc>
          <w:tcPr>
            <w:tcW w:w="527"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24</w:t>
            </w:r>
          </w:p>
        </w:tc>
        <w:tc>
          <w:tcPr>
            <w:tcW w:w="528"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0</w:t>
            </w:r>
          </w:p>
        </w:tc>
        <w:tc>
          <w:tcPr>
            <w:tcW w:w="734"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666</w:t>
            </w:r>
          </w:p>
        </w:tc>
        <w:tc>
          <w:tcPr>
            <w:tcW w:w="579"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0</w:t>
            </w:r>
          </w:p>
        </w:tc>
        <w:tc>
          <w:tcPr>
            <w:tcW w:w="724"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278</w:t>
            </w:r>
          </w:p>
        </w:tc>
        <w:tc>
          <w:tcPr>
            <w:tcW w:w="489" w:type="pct"/>
            <w:shd w:val="clear" w:color="auto" w:fill="auto"/>
            <w:noWrap/>
            <w:vAlign w:val="bottom"/>
          </w:tcPr>
          <w:p w:rsidR="002C03FD" w:rsidRPr="00B22160" w:rsidRDefault="002E29C1" w:rsidP="002C03FD">
            <w:pPr>
              <w:spacing w:after="0"/>
              <w:jc w:val="right"/>
              <w:rPr>
                <w:rFonts w:ascii="Calibri" w:hAnsi="Calibri"/>
                <w:sz w:val="20"/>
                <w:szCs w:val="22"/>
              </w:rPr>
            </w:pPr>
            <w:r w:rsidRPr="00B22160">
              <w:rPr>
                <w:rFonts w:ascii="Calibri" w:hAnsi="Calibri"/>
                <w:sz w:val="20"/>
                <w:szCs w:val="22"/>
              </w:rPr>
              <w:t>1137</w:t>
            </w:r>
          </w:p>
        </w:tc>
      </w:tr>
      <w:tr w:rsidR="00040D04" w:rsidTr="00057B6B">
        <w:trPr>
          <w:trHeight w:val="20"/>
        </w:trPr>
        <w:tc>
          <w:tcPr>
            <w:tcW w:w="775" w:type="pct"/>
            <w:shd w:val="clear" w:color="auto" w:fill="D9D9D9" w:themeFill="background1" w:themeFillShade="D9"/>
            <w:noWrap/>
            <w:vAlign w:val="bottom"/>
          </w:tcPr>
          <w:p w:rsidR="00057B6B" w:rsidRPr="00B22160" w:rsidRDefault="002E29C1" w:rsidP="00057B6B">
            <w:pPr>
              <w:spacing w:after="0"/>
              <w:rPr>
                <w:rFonts w:ascii="Calibri" w:hAnsi="Calibri"/>
                <w:sz w:val="20"/>
                <w:szCs w:val="22"/>
              </w:rPr>
            </w:pPr>
            <w:r w:rsidRPr="00B22160">
              <w:rPr>
                <w:rFonts w:ascii="Calibri" w:eastAsia="Times New Roman" w:hAnsi="Calibri" w:cs="Times New Roman"/>
                <w:b/>
                <w:bCs/>
                <w:sz w:val="20"/>
                <w:szCs w:val="20"/>
                <w:lang w:eastAsia="en-GB"/>
              </w:rPr>
              <w:t>2018-19</w:t>
            </w:r>
          </w:p>
        </w:tc>
        <w:tc>
          <w:tcPr>
            <w:tcW w:w="644" w:type="pct"/>
            <w:shd w:val="clear" w:color="auto" w:fill="D9D9D9" w:themeFill="background1" w:themeFillShade="D9"/>
            <w:noWrap/>
            <w:vAlign w:val="bottom"/>
          </w:tcPr>
          <w:p w:rsidR="00057B6B" w:rsidRPr="00B22160" w:rsidRDefault="00AC7EBD" w:rsidP="00B37BD8">
            <w:pPr>
              <w:spacing w:after="0"/>
              <w:jc w:val="right"/>
              <w:rPr>
                <w:rFonts w:ascii="Calibri" w:hAnsi="Calibri"/>
                <w:sz w:val="20"/>
                <w:szCs w:val="22"/>
              </w:rPr>
            </w:pPr>
          </w:p>
        </w:tc>
        <w:tc>
          <w:tcPr>
            <w:tcW w:w="527" w:type="pct"/>
            <w:shd w:val="clear" w:color="auto" w:fill="D9D9D9" w:themeFill="background1" w:themeFillShade="D9"/>
            <w:noWrap/>
            <w:vAlign w:val="bottom"/>
          </w:tcPr>
          <w:p w:rsidR="00057B6B" w:rsidRPr="00B22160" w:rsidRDefault="00AC7EBD" w:rsidP="00B37BD8">
            <w:pPr>
              <w:spacing w:after="0"/>
              <w:jc w:val="right"/>
              <w:rPr>
                <w:rFonts w:ascii="Calibri" w:hAnsi="Calibri"/>
                <w:sz w:val="20"/>
                <w:szCs w:val="22"/>
              </w:rPr>
            </w:pPr>
          </w:p>
        </w:tc>
        <w:tc>
          <w:tcPr>
            <w:tcW w:w="528" w:type="pct"/>
            <w:shd w:val="clear" w:color="auto" w:fill="D9D9D9" w:themeFill="background1" w:themeFillShade="D9"/>
            <w:noWrap/>
            <w:vAlign w:val="bottom"/>
          </w:tcPr>
          <w:p w:rsidR="00057B6B" w:rsidRPr="00B22160" w:rsidRDefault="00AC7EBD" w:rsidP="00B37BD8">
            <w:pPr>
              <w:spacing w:after="0"/>
              <w:jc w:val="right"/>
              <w:rPr>
                <w:rFonts w:ascii="Calibri" w:hAnsi="Calibri"/>
                <w:sz w:val="20"/>
                <w:szCs w:val="22"/>
              </w:rPr>
            </w:pPr>
          </w:p>
        </w:tc>
        <w:tc>
          <w:tcPr>
            <w:tcW w:w="734" w:type="pct"/>
            <w:shd w:val="clear" w:color="auto" w:fill="D9D9D9" w:themeFill="background1" w:themeFillShade="D9"/>
            <w:noWrap/>
            <w:vAlign w:val="bottom"/>
          </w:tcPr>
          <w:p w:rsidR="00057B6B" w:rsidRPr="00B22160" w:rsidRDefault="00AC7EBD" w:rsidP="00B37BD8">
            <w:pPr>
              <w:spacing w:after="0"/>
              <w:jc w:val="right"/>
              <w:rPr>
                <w:rFonts w:ascii="Calibri" w:hAnsi="Calibri"/>
                <w:sz w:val="20"/>
                <w:szCs w:val="22"/>
              </w:rPr>
            </w:pPr>
          </w:p>
        </w:tc>
        <w:tc>
          <w:tcPr>
            <w:tcW w:w="579" w:type="pct"/>
            <w:shd w:val="clear" w:color="auto" w:fill="D9D9D9" w:themeFill="background1" w:themeFillShade="D9"/>
            <w:noWrap/>
            <w:vAlign w:val="bottom"/>
          </w:tcPr>
          <w:p w:rsidR="00057B6B" w:rsidRPr="00B22160" w:rsidRDefault="00AC7EBD" w:rsidP="00B37BD8">
            <w:pPr>
              <w:spacing w:after="0"/>
              <w:jc w:val="right"/>
              <w:rPr>
                <w:rFonts w:ascii="Calibri" w:hAnsi="Calibri"/>
                <w:sz w:val="20"/>
                <w:szCs w:val="22"/>
              </w:rPr>
            </w:pPr>
          </w:p>
        </w:tc>
        <w:tc>
          <w:tcPr>
            <w:tcW w:w="724" w:type="pct"/>
            <w:shd w:val="clear" w:color="auto" w:fill="D9D9D9" w:themeFill="background1" w:themeFillShade="D9"/>
            <w:noWrap/>
            <w:vAlign w:val="bottom"/>
          </w:tcPr>
          <w:p w:rsidR="00057B6B" w:rsidRPr="00B22160" w:rsidRDefault="00AC7EBD" w:rsidP="00B37BD8">
            <w:pPr>
              <w:spacing w:after="0"/>
              <w:jc w:val="right"/>
              <w:rPr>
                <w:rFonts w:ascii="Calibri" w:hAnsi="Calibri"/>
                <w:sz w:val="20"/>
                <w:szCs w:val="22"/>
              </w:rPr>
            </w:pPr>
          </w:p>
        </w:tc>
        <w:tc>
          <w:tcPr>
            <w:tcW w:w="489" w:type="pct"/>
            <w:shd w:val="clear" w:color="auto" w:fill="D9D9D9" w:themeFill="background1" w:themeFillShade="D9"/>
            <w:noWrap/>
            <w:vAlign w:val="bottom"/>
          </w:tcPr>
          <w:p w:rsidR="00057B6B" w:rsidRPr="00B22160" w:rsidRDefault="00AC7EBD" w:rsidP="00B37BD8">
            <w:pPr>
              <w:spacing w:after="0"/>
              <w:jc w:val="right"/>
              <w:rPr>
                <w:rFonts w:ascii="Calibri" w:hAnsi="Calibri"/>
                <w:sz w:val="20"/>
                <w:szCs w:val="22"/>
              </w:rPr>
            </w:pPr>
          </w:p>
        </w:tc>
      </w:tr>
      <w:tr w:rsidR="00040D04" w:rsidTr="00057B6B">
        <w:trPr>
          <w:trHeight w:val="20"/>
        </w:trPr>
        <w:tc>
          <w:tcPr>
            <w:tcW w:w="775" w:type="pct"/>
            <w:shd w:val="clear" w:color="auto" w:fill="auto"/>
            <w:noWrap/>
            <w:vAlign w:val="bottom"/>
          </w:tcPr>
          <w:p w:rsidR="00B37BD8" w:rsidRPr="00B22160" w:rsidRDefault="002E29C1" w:rsidP="00B37BD8">
            <w:pPr>
              <w:spacing w:after="0"/>
              <w:ind w:firstLineChars="100" w:firstLine="200"/>
              <w:rPr>
                <w:rFonts w:ascii="Calibri" w:hAnsi="Calibri"/>
                <w:sz w:val="20"/>
                <w:szCs w:val="22"/>
              </w:rPr>
            </w:pPr>
            <w:r w:rsidRPr="00B22160">
              <w:rPr>
                <w:rFonts w:ascii="Calibri" w:hAnsi="Calibri"/>
                <w:sz w:val="20"/>
                <w:szCs w:val="22"/>
              </w:rPr>
              <w:t>APRIL</w:t>
            </w:r>
          </w:p>
        </w:tc>
        <w:tc>
          <w:tcPr>
            <w:tcW w:w="644" w:type="pct"/>
            <w:shd w:val="clear" w:color="auto" w:fill="auto"/>
            <w:noWrap/>
            <w:vAlign w:val="bottom"/>
          </w:tcPr>
          <w:p w:rsidR="00B37BD8" w:rsidRPr="00B22160" w:rsidRDefault="002E29C1" w:rsidP="00B37BD8">
            <w:pPr>
              <w:spacing w:after="0"/>
              <w:jc w:val="right"/>
              <w:rPr>
                <w:rFonts w:ascii="Calibri" w:hAnsi="Calibri"/>
                <w:sz w:val="20"/>
                <w:szCs w:val="22"/>
              </w:rPr>
            </w:pPr>
            <w:r w:rsidRPr="00B22160">
              <w:rPr>
                <w:rFonts w:ascii="Calibri" w:hAnsi="Calibri"/>
                <w:sz w:val="20"/>
                <w:szCs w:val="22"/>
              </w:rPr>
              <w:t>90</w:t>
            </w:r>
          </w:p>
        </w:tc>
        <w:tc>
          <w:tcPr>
            <w:tcW w:w="527" w:type="pct"/>
            <w:shd w:val="clear" w:color="auto" w:fill="auto"/>
            <w:noWrap/>
            <w:vAlign w:val="bottom"/>
          </w:tcPr>
          <w:p w:rsidR="00B37BD8" w:rsidRPr="00B22160" w:rsidRDefault="002E29C1" w:rsidP="00B37BD8">
            <w:pPr>
              <w:spacing w:after="0"/>
              <w:jc w:val="right"/>
              <w:rPr>
                <w:rFonts w:ascii="Calibri" w:hAnsi="Calibri"/>
                <w:sz w:val="20"/>
                <w:szCs w:val="22"/>
              </w:rPr>
            </w:pPr>
            <w:r w:rsidRPr="00B22160">
              <w:rPr>
                <w:rFonts w:ascii="Calibri" w:hAnsi="Calibri"/>
                <w:sz w:val="20"/>
                <w:szCs w:val="22"/>
              </w:rPr>
              <w:t>30</w:t>
            </w:r>
          </w:p>
        </w:tc>
        <w:tc>
          <w:tcPr>
            <w:tcW w:w="528" w:type="pct"/>
            <w:shd w:val="clear" w:color="auto" w:fill="auto"/>
            <w:noWrap/>
            <w:vAlign w:val="bottom"/>
          </w:tcPr>
          <w:p w:rsidR="00B37BD8" w:rsidRPr="00B22160" w:rsidRDefault="002E29C1" w:rsidP="00B37BD8">
            <w:pPr>
              <w:spacing w:after="0"/>
              <w:jc w:val="right"/>
              <w:rPr>
                <w:rFonts w:ascii="Calibri" w:hAnsi="Calibri"/>
                <w:sz w:val="20"/>
                <w:szCs w:val="22"/>
              </w:rPr>
            </w:pPr>
            <w:r w:rsidRPr="00B22160">
              <w:rPr>
                <w:rFonts w:ascii="Calibri" w:hAnsi="Calibri"/>
                <w:sz w:val="20"/>
                <w:szCs w:val="22"/>
              </w:rPr>
              <w:t>18</w:t>
            </w:r>
          </w:p>
        </w:tc>
        <w:tc>
          <w:tcPr>
            <w:tcW w:w="734" w:type="pct"/>
            <w:shd w:val="clear" w:color="auto" w:fill="auto"/>
            <w:noWrap/>
            <w:vAlign w:val="bottom"/>
          </w:tcPr>
          <w:p w:rsidR="00B37BD8" w:rsidRPr="00B22160" w:rsidRDefault="002E29C1" w:rsidP="00B37BD8">
            <w:pPr>
              <w:spacing w:after="0"/>
              <w:jc w:val="right"/>
              <w:rPr>
                <w:rFonts w:ascii="Calibri" w:hAnsi="Calibri"/>
                <w:sz w:val="20"/>
                <w:szCs w:val="22"/>
              </w:rPr>
            </w:pPr>
            <w:r w:rsidRPr="00B22160">
              <w:rPr>
                <w:rFonts w:ascii="Calibri" w:hAnsi="Calibri"/>
                <w:sz w:val="20"/>
                <w:szCs w:val="22"/>
              </w:rPr>
              <w:t>658</w:t>
            </w:r>
          </w:p>
        </w:tc>
        <w:tc>
          <w:tcPr>
            <w:tcW w:w="579" w:type="pct"/>
            <w:shd w:val="clear" w:color="auto" w:fill="auto"/>
            <w:noWrap/>
            <w:vAlign w:val="bottom"/>
          </w:tcPr>
          <w:p w:rsidR="00B37BD8" w:rsidRPr="00B22160" w:rsidRDefault="002E29C1" w:rsidP="00B37BD8">
            <w:pPr>
              <w:spacing w:after="0"/>
              <w:jc w:val="right"/>
              <w:rPr>
                <w:rFonts w:ascii="Calibri" w:hAnsi="Calibri"/>
                <w:sz w:val="20"/>
                <w:szCs w:val="22"/>
              </w:rPr>
            </w:pPr>
            <w:r w:rsidRPr="00B22160">
              <w:rPr>
                <w:rFonts w:ascii="Calibri" w:hAnsi="Calibri"/>
                <w:sz w:val="20"/>
                <w:szCs w:val="22"/>
              </w:rPr>
              <w:t>0</w:t>
            </w:r>
          </w:p>
        </w:tc>
        <w:tc>
          <w:tcPr>
            <w:tcW w:w="724" w:type="pct"/>
            <w:shd w:val="clear" w:color="auto" w:fill="auto"/>
            <w:noWrap/>
            <w:vAlign w:val="bottom"/>
          </w:tcPr>
          <w:p w:rsidR="00B37BD8" w:rsidRPr="00B22160" w:rsidRDefault="002E29C1" w:rsidP="00B37BD8">
            <w:pPr>
              <w:spacing w:after="0"/>
              <w:jc w:val="right"/>
              <w:rPr>
                <w:rFonts w:ascii="Calibri" w:hAnsi="Calibri"/>
                <w:sz w:val="20"/>
                <w:szCs w:val="22"/>
              </w:rPr>
            </w:pPr>
            <w:r w:rsidRPr="00B22160">
              <w:rPr>
                <w:rFonts w:ascii="Calibri" w:hAnsi="Calibri"/>
                <w:sz w:val="20"/>
                <w:szCs w:val="22"/>
              </w:rPr>
              <w:t>127</w:t>
            </w:r>
          </w:p>
        </w:tc>
        <w:tc>
          <w:tcPr>
            <w:tcW w:w="489" w:type="pct"/>
            <w:shd w:val="clear" w:color="auto" w:fill="auto"/>
            <w:noWrap/>
            <w:vAlign w:val="bottom"/>
          </w:tcPr>
          <w:p w:rsidR="00B37BD8" w:rsidRPr="00B22160" w:rsidRDefault="002E29C1" w:rsidP="00B37BD8">
            <w:pPr>
              <w:spacing w:after="0"/>
              <w:jc w:val="right"/>
              <w:rPr>
                <w:rFonts w:ascii="Calibri" w:hAnsi="Calibri"/>
                <w:sz w:val="20"/>
                <w:szCs w:val="22"/>
              </w:rPr>
            </w:pPr>
            <w:r w:rsidRPr="00B22160">
              <w:rPr>
                <w:rFonts w:ascii="Calibri" w:hAnsi="Calibri"/>
                <w:sz w:val="20"/>
                <w:szCs w:val="22"/>
              </w:rPr>
              <w:t>923</w:t>
            </w:r>
          </w:p>
        </w:tc>
      </w:tr>
      <w:tr w:rsidR="00040D04" w:rsidTr="00057B6B">
        <w:trPr>
          <w:trHeight w:val="20"/>
        </w:trPr>
        <w:tc>
          <w:tcPr>
            <w:tcW w:w="775" w:type="pct"/>
            <w:shd w:val="clear" w:color="auto" w:fill="auto"/>
            <w:noWrap/>
            <w:vAlign w:val="bottom"/>
          </w:tcPr>
          <w:p w:rsidR="005B3D95" w:rsidRPr="00B22160" w:rsidRDefault="002E29C1" w:rsidP="005B3D95">
            <w:pPr>
              <w:autoSpaceDE/>
              <w:autoSpaceDN/>
              <w:adjustRightInd/>
              <w:spacing w:after="0"/>
              <w:ind w:firstLineChars="100" w:firstLine="200"/>
              <w:jc w:val="left"/>
              <w:rPr>
                <w:rFonts w:ascii="Calibri" w:eastAsia="Times New Roman" w:hAnsi="Calibri" w:cs="Times New Roman"/>
                <w:sz w:val="20"/>
                <w:szCs w:val="22"/>
                <w:lang w:eastAsia="en-GB"/>
              </w:rPr>
            </w:pPr>
            <w:r w:rsidRPr="00B22160">
              <w:rPr>
                <w:rFonts w:ascii="Calibri" w:hAnsi="Calibri"/>
                <w:sz w:val="20"/>
                <w:szCs w:val="22"/>
              </w:rPr>
              <w:t>MAY</w:t>
            </w:r>
          </w:p>
        </w:tc>
        <w:tc>
          <w:tcPr>
            <w:tcW w:w="644" w:type="pct"/>
            <w:shd w:val="clear" w:color="auto" w:fill="auto"/>
            <w:noWrap/>
            <w:vAlign w:val="bottom"/>
          </w:tcPr>
          <w:p w:rsidR="005B3D95" w:rsidRPr="00B22160" w:rsidRDefault="002E29C1" w:rsidP="005B3D95">
            <w:pPr>
              <w:spacing w:after="0"/>
              <w:jc w:val="right"/>
              <w:rPr>
                <w:rFonts w:ascii="Calibri" w:hAnsi="Calibri"/>
                <w:sz w:val="20"/>
                <w:szCs w:val="22"/>
              </w:rPr>
            </w:pPr>
            <w:r w:rsidRPr="00B22160">
              <w:rPr>
                <w:rFonts w:ascii="Calibri" w:hAnsi="Calibri"/>
                <w:sz w:val="20"/>
                <w:szCs w:val="22"/>
              </w:rPr>
              <w:t>144</w:t>
            </w:r>
          </w:p>
        </w:tc>
        <w:tc>
          <w:tcPr>
            <w:tcW w:w="527" w:type="pct"/>
            <w:shd w:val="clear" w:color="auto" w:fill="auto"/>
            <w:noWrap/>
            <w:vAlign w:val="bottom"/>
          </w:tcPr>
          <w:p w:rsidR="005B3D95" w:rsidRPr="00B22160" w:rsidRDefault="002E29C1" w:rsidP="005B3D95">
            <w:pPr>
              <w:spacing w:after="0"/>
              <w:jc w:val="right"/>
              <w:rPr>
                <w:rFonts w:ascii="Calibri" w:hAnsi="Calibri"/>
                <w:sz w:val="20"/>
                <w:szCs w:val="22"/>
              </w:rPr>
            </w:pPr>
            <w:r w:rsidRPr="00B22160">
              <w:rPr>
                <w:rFonts w:ascii="Calibri" w:hAnsi="Calibri"/>
                <w:sz w:val="20"/>
                <w:szCs w:val="22"/>
              </w:rPr>
              <w:t>76</w:t>
            </w:r>
          </w:p>
        </w:tc>
        <w:tc>
          <w:tcPr>
            <w:tcW w:w="528" w:type="pct"/>
            <w:shd w:val="clear" w:color="auto" w:fill="auto"/>
            <w:noWrap/>
            <w:vAlign w:val="bottom"/>
          </w:tcPr>
          <w:p w:rsidR="005B3D95" w:rsidRPr="00B22160" w:rsidRDefault="002E29C1" w:rsidP="005B3D95">
            <w:pPr>
              <w:spacing w:after="0"/>
              <w:jc w:val="right"/>
              <w:rPr>
                <w:rFonts w:ascii="Calibri" w:hAnsi="Calibri"/>
                <w:sz w:val="20"/>
                <w:szCs w:val="22"/>
              </w:rPr>
            </w:pPr>
            <w:r w:rsidRPr="00B22160">
              <w:rPr>
                <w:rFonts w:ascii="Calibri" w:hAnsi="Calibri"/>
                <w:sz w:val="20"/>
                <w:szCs w:val="22"/>
              </w:rPr>
              <w:t>31</w:t>
            </w:r>
          </w:p>
        </w:tc>
        <w:tc>
          <w:tcPr>
            <w:tcW w:w="734" w:type="pct"/>
            <w:shd w:val="clear" w:color="auto" w:fill="auto"/>
            <w:noWrap/>
            <w:vAlign w:val="bottom"/>
          </w:tcPr>
          <w:p w:rsidR="005B3D95" w:rsidRPr="00B22160" w:rsidRDefault="002E29C1" w:rsidP="005B3D95">
            <w:pPr>
              <w:spacing w:after="0"/>
              <w:jc w:val="right"/>
              <w:rPr>
                <w:rFonts w:ascii="Calibri" w:hAnsi="Calibri"/>
                <w:sz w:val="20"/>
                <w:szCs w:val="22"/>
              </w:rPr>
            </w:pPr>
            <w:r w:rsidRPr="00B22160">
              <w:rPr>
                <w:rFonts w:ascii="Calibri" w:hAnsi="Calibri"/>
                <w:sz w:val="20"/>
                <w:szCs w:val="22"/>
              </w:rPr>
              <w:t>522</w:t>
            </w:r>
          </w:p>
        </w:tc>
        <w:tc>
          <w:tcPr>
            <w:tcW w:w="579" w:type="pct"/>
            <w:shd w:val="clear" w:color="auto" w:fill="auto"/>
            <w:noWrap/>
            <w:vAlign w:val="bottom"/>
          </w:tcPr>
          <w:p w:rsidR="005B3D95" w:rsidRPr="00B22160" w:rsidRDefault="002E29C1" w:rsidP="005B3D95">
            <w:pPr>
              <w:spacing w:after="0"/>
              <w:jc w:val="right"/>
              <w:rPr>
                <w:rFonts w:ascii="Calibri" w:hAnsi="Calibri"/>
                <w:sz w:val="20"/>
                <w:szCs w:val="22"/>
              </w:rPr>
            </w:pPr>
            <w:r w:rsidRPr="00B22160">
              <w:rPr>
                <w:rFonts w:ascii="Calibri" w:hAnsi="Calibri"/>
                <w:sz w:val="20"/>
                <w:szCs w:val="22"/>
              </w:rPr>
              <w:t>0</w:t>
            </w:r>
          </w:p>
        </w:tc>
        <w:tc>
          <w:tcPr>
            <w:tcW w:w="724" w:type="pct"/>
            <w:shd w:val="clear" w:color="auto" w:fill="auto"/>
            <w:noWrap/>
            <w:vAlign w:val="bottom"/>
          </w:tcPr>
          <w:p w:rsidR="005B3D95" w:rsidRPr="00B22160" w:rsidRDefault="002E29C1" w:rsidP="005B3D95">
            <w:pPr>
              <w:spacing w:after="0"/>
              <w:jc w:val="right"/>
              <w:rPr>
                <w:rFonts w:ascii="Calibri" w:hAnsi="Calibri"/>
                <w:sz w:val="20"/>
                <w:szCs w:val="22"/>
              </w:rPr>
            </w:pPr>
            <w:r w:rsidRPr="00B22160">
              <w:rPr>
                <w:rFonts w:ascii="Calibri" w:hAnsi="Calibri"/>
                <w:sz w:val="20"/>
                <w:szCs w:val="22"/>
              </w:rPr>
              <w:t>290</w:t>
            </w:r>
          </w:p>
        </w:tc>
        <w:tc>
          <w:tcPr>
            <w:tcW w:w="489" w:type="pct"/>
            <w:shd w:val="clear" w:color="auto" w:fill="auto"/>
            <w:noWrap/>
            <w:vAlign w:val="bottom"/>
          </w:tcPr>
          <w:p w:rsidR="005B3D95" w:rsidRPr="00B22160" w:rsidRDefault="002E29C1" w:rsidP="005B3D95">
            <w:pPr>
              <w:spacing w:after="0"/>
              <w:jc w:val="right"/>
              <w:rPr>
                <w:rFonts w:ascii="Calibri" w:hAnsi="Calibri"/>
                <w:sz w:val="20"/>
                <w:szCs w:val="22"/>
              </w:rPr>
            </w:pPr>
            <w:r w:rsidRPr="00B22160">
              <w:rPr>
                <w:rFonts w:ascii="Calibri" w:hAnsi="Calibri"/>
                <w:sz w:val="20"/>
                <w:szCs w:val="22"/>
              </w:rPr>
              <w:t>1063</w:t>
            </w:r>
          </w:p>
        </w:tc>
      </w:tr>
      <w:tr w:rsidR="00040D04" w:rsidTr="00057B6B">
        <w:trPr>
          <w:trHeight w:val="20"/>
        </w:trPr>
        <w:tc>
          <w:tcPr>
            <w:tcW w:w="775" w:type="pct"/>
            <w:shd w:val="clear" w:color="auto" w:fill="auto"/>
            <w:noWrap/>
            <w:vAlign w:val="bottom"/>
          </w:tcPr>
          <w:p w:rsidR="00F6226A" w:rsidRPr="00B22160" w:rsidRDefault="002E29C1" w:rsidP="00F6226A">
            <w:pPr>
              <w:autoSpaceDE/>
              <w:autoSpaceDN/>
              <w:adjustRightInd/>
              <w:spacing w:after="0"/>
              <w:ind w:firstLineChars="100" w:firstLine="200"/>
              <w:jc w:val="left"/>
              <w:rPr>
                <w:rFonts w:ascii="Calibri" w:eastAsia="Times New Roman" w:hAnsi="Calibri" w:cs="Times New Roman"/>
                <w:sz w:val="20"/>
                <w:szCs w:val="22"/>
                <w:lang w:eastAsia="en-GB"/>
              </w:rPr>
            </w:pPr>
            <w:r w:rsidRPr="00B22160">
              <w:rPr>
                <w:rFonts w:ascii="Calibri" w:hAnsi="Calibri"/>
                <w:sz w:val="20"/>
                <w:szCs w:val="22"/>
              </w:rPr>
              <w:t>JUNE</w:t>
            </w:r>
          </w:p>
        </w:tc>
        <w:tc>
          <w:tcPr>
            <w:tcW w:w="644" w:type="pct"/>
            <w:shd w:val="clear" w:color="auto" w:fill="auto"/>
            <w:noWrap/>
            <w:vAlign w:val="bottom"/>
          </w:tcPr>
          <w:p w:rsidR="00F6226A" w:rsidRPr="00B22160" w:rsidRDefault="002E29C1" w:rsidP="00F6226A">
            <w:pPr>
              <w:spacing w:after="0"/>
              <w:jc w:val="right"/>
              <w:rPr>
                <w:rFonts w:ascii="Calibri" w:hAnsi="Calibri"/>
                <w:sz w:val="20"/>
                <w:szCs w:val="22"/>
              </w:rPr>
            </w:pPr>
            <w:r w:rsidRPr="00B22160">
              <w:rPr>
                <w:rFonts w:ascii="Calibri" w:hAnsi="Calibri"/>
                <w:sz w:val="20"/>
                <w:szCs w:val="22"/>
              </w:rPr>
              <w:t>161</w:t>
            </w:r>
          </w:p>
        </w:tc>
        <w:tc>
          <w:tcPr>
            <w:tcW w:w="527" w:type="pct"/>
            <w:shd w:val="clear" w:color="auto" w:fill="auto"/>
            <w:noWrap/>
            <w:vAlign w:val="bottom"/>
          </w:tcPr>
          <w:p w:rsidR="00F6226A" w:rsidRPr="00B22160" w:rsidRDefault="002E29C1" w:rsidP="00F6226A">
            <w:pPr>
              <w:spacing w:after="0"/>
              <w:jc w:val="right"/>
              <w:rPr>
                <w:rFonts w:ascii="Calibri" w:hAnsi="Calibri"/>
                <w:sz w:val="20"/>
                <w:szCs w:val="22"/>
              </w:rPr>
            </w:pPr>
            <w:r w:rsidRPr="00B22160">
              <w:rPr>
                <w:rFonts w:ascii="Calibri" w:hAnsi="Calibri"/>
                <w:sz w:val="20"/>
                <w:szCs w:val="22"/>
              </w:rPr>
              <w:t>26</w:t>
            </w:r>
          </w:p>
        </w:tc>
        <w:tc>
          <w:tcPr>
            <w:tcW w:w="528" w:type="pct"/>
            <w:shd w:val="clear" w:color="auto" w:fill="auto"/>
            <w:noWrap/>
            <w:vAlign w:val="bottom"/>
          </w:tcPr>
          <w:p w:rsidR="00F6226A" w:rsidRPr="00B22160" w:rsidRDefault="002E29C1" w:rsidP="00F6226A">
            <w:pPr>
              <w:spacing w:after="0"/>
              <w:jc w:val="right"/>
              <w:rPr>
                <w:rFonts w:ascii="Calibri" w:hAnsi="Calibri"/>
                <w:sz w:val="20"/>
                <w:szCs w:val="22"/>
              </w:rPr>
            </w:pPr>
            <w:r w:rsidRPr="00B22160">
              <w:rPr>
                <w:rFonts w:ascii="Calibri" w:hAnsi="Calibri"/>
                <w:sz w:val="20"/>
                <w:szCs w:val="22"/>
              </w:rPr>
              <w:t>0</w:t>
            </w:r>
          </w:p>
        </w:tc>
        <w:tc>
          <w:tcPr>
            <w:tcW w:w="734" w:type="pct"/>
            <w:shd w:val="clear" w:color="auto" w:fill="auto"/>
            <w:noWrap/>
            <w:vAlign w:val="bottom"/>
          </w:tcPr>
          <w:p w:rsidR="00F6226A" w:rsidRPr="00B22160" w:rsidRDefault="002E29C1" w:rsidP="00F6226A">
            <w:pPr>
              <w:spacing w:after="0"/>
              <w:jc w:val="right"/>
              <w:rPr>
                <w:rFonts w:ascii="Calibri" w:hAnsi="Calibri"/>
                <w:sz w:val="20"/>
                <w:szCs w:val="22"/>
              </w:rPr>
            </w:pPr>
            <w:r w:rsidRPr="00B22160">
              <w:rPr>
                <w:rFonts w:ascii="Calibri" w:hAnsi="Calibri"/>
                <w:sz w:val="20"/>
                <w:szCs w:val="22"/>
              </w:rPr>
              <w:t>600</w:t>
            </w:r>
          </w:p>
        </w:tc>
        <w:tc>
          <w:tcPr>
            <w:tcW w:w="579" w:type="pct"/>
            <w:shd w:val="clear" w:color="auto" w:fill="auto"/>
            <w:noWrap/>
            <w:vAlign w:val="bottom"/>
          </w:tcPr>
          <w:p w:rsidR="00F6226A" w:rsidRPr="00B22160" w:rsidRDefault="002E29C1" w:rsidP="00F6226A">
            <w:pPr>
              <w:spacing w:after="0"/>
              <w:jc w:val="right"/>
              <w:rPr>
                <w:rFonts w:ascii="Calibri" w:hAnsi="Calibri"/>
                <w:sz w:val="20"/>
                <w:szCs w:val="22"/>
              </w:rPr>
            </w:pPr>
            <w:r w:rsidRPr="00B22160">
              <w:rPr>
                <w:rFonts w:ascii="Calibri" w:hAnsi="Calibri"/>
                <w:sz w:val="20"/>
                <w:szCs w:val="22"/>
              </w:rPr>
              <w:t>0</w:t>
            </w:r>
          </w:p>
        </w:tc>
        <w:tc>
          <w:tcPr>
            <w:tcW w:w="724" w:type="pct"/>
            <w:shd w:val="clear" w:color="auto" w:fill="auto"/>
            <w:noWrap/>
            <w:vAlign w:val="bottom"/>
          </w:tcPr>
          <w:p w:rsidR="00F6226A" w:rsidRPr="00B22160" w:rsidRDefault="002E29C1" w:rsidP="00F6226A">
            <w:pPr>
              <w:spacing w:after="0"/>
              <w:jc w:val="right"/>
              <w:rPr>
                <w:rFonts w:ascii="Calibri" w:hAnsi="Calibri"/>
                <w:sz w:val="20"/>
                <w:szCs w:val="22"/>
              </w:rPr>
            </w:pPr>
            <w:r w:rsidRPr="00B22160">
              <w:rPr>
                <w:rFonts w:ascii="Calibri" w:hAnsi="Calibri"/>
                <w:sz w:val="20"/>
                <w:szCs w:val="22"/>
              </w:rPr>
              <w:t>222</w:t>
            </w:r>
          </w:p>
        </w:tc>
        <w:tc>
          <w:tcPr>
            <w:tcW w:w="489" w:type="pct"/>
            <w:shd w:val="clear" w:color="auto" w:fill="auto"/>
            <w:noWrap/>
            <w:vAlign w:val="bottom"/>
          </w:tcPr>
          <w:p w:rsidR="00F6226A" w:rsidRPr="00B22160" w:rsidRDefault="002E29C1" w:rsidP="00F6226A">
            <w:pPr>
              <w:spacing w:after="0"/>
              <w:jc w:val="right"/>
              <w:rPr>
                <w:rFonts w:ascii="Calibri" w:hAnsi="Calibri"/>
                <w:sz w:val="20"/>
                <w:szCs w:val="22"/>
              </w:rPr>
            </w:pPr>
            <w:r w:rsidRPr="00B22160">
              <w:rPr>
                <w:rFonts w:ascii="Calibri" w:hAnsi="Calibri"/>
                <w:sz w:val="20"/>
                <w:szCs w:val="22"/>
              </w:rPr>
              <w:t>1009</w:t>
            </w:r>
          </w:p>
        </w:tc>
      </w:tr>
      <w:tr w:rsidR="00040D04" w:rsidTr="00057B6B">
        <w:trPr>
          <w:trHeight w:val="20"/>
        </w:trPr>
        <w:tc>
          <w:tcPr>
            <w:tcW w:w="775" w:type="pct"/>
            <w:shd w:val="clear" w:color="auto" w:fill="auto"/>
            <w:noWrap/>
            <w:vAlign w:val="bottom"/>
          </w:tcPr>
          <w:p w:rsidR="00B22160" w:rsidRPr="00B22160" w:rsidRDefault="002E29C1" w:rsidP="00B22160">
            <w:pPr>
              <w:autoSpaceDE/>
              <w:autoSpaceDN/>
              <w:adjustRightInd/>
              <w:spacing w:after="0"/>
              <w:ind w:firstLineChars="100" w:firstLine="220"/>
              <w:jc w:val="left"/>
              <w:rPr>
                <w:rFonts w:ascii="Calibri" w:eastAsia="Times New Roman" w:hAnsi="Calibri" w:cs="Times New Roman"/>
                <w:sz w:val="22"/>
                <w:szCs w:val="22"/>
                <w:lang w:eastAsia="en-GB"/>
              </w:rPr>
            </w:pPr>
            <w:r w:rsidRPr="00B22160">
              <w:rPr>
                <w:rFonts w:ascii="Calibri" w:hAnsi="Calibri"/>
                <w:sz w:val="22"/>
                <w:szCs w:val="22"/>
              </w:rPr>
              <w:t>JULY</w:t>
            </w:r>
          </w:p>
        </w:tc>
        <w:tc>
          <w:tcPr>
            <w:tcW w:w="644" w:type="pct"/>
            <w:shd w:val="clear" w:color="auto" w:fill="auto"/>
            <w:noWrap/>
            <w:vAlign w:val="bottom"/>
          </w:tcPr>
          <w:p w:rsidR="00B22160" w:rsidRPr="00B22160" w:rsidRDefault="002E29C1" w:rsidP="00B22160">
            <w:pPr>
              <w:spacing w:after="0"/>
              <w:jc w:val="right"/>
              <w:rPr>
                <w:rFonts w:ascii="Calibri" w:hAnsi="Calibri"/>
                <w:sz w:val="22"/>
                <w:szCs w:val="22"/>
              </w:rPr>
            </w:pPr>
            <w:r w:rsidRPr="00B22160">
              <w:rPr>
                <w:rFonts w:ascii="Calibri" w:hAnsi="Calibri"/>
                <w:sz w:val="22"/>
                <w:szCs w:val="22"/>
              </w:rPr>
              <w:t>188</w:t>
            </w:r>
          </w:p>
        </w:tc>
        <w:tc>
          <w:tcPr>
            <w:tcW w:w="527" w:type="pct"/>
            <w:shd w:val="clear" w:color="auto" w:fill="auto"/>
            <w:noWrap/>
            <w:vAlign w:val="bottom"/>
          </w:tcPr>
          <w:p w:rsidR="00B22160" w:rsidRPr="00B22160" w:rsidRDefault="002E29C1" w:rsidP="00B22160">
            <w:pPr>
              <w:spacing w:after="0"/>
              <w:jc w:val="right"/>
              <w:rPr>
                <w:rFonts w:ascii="Calibri" w:hAnsi="Calibri"/>
                <w:sz w:val="22"/>
                <w:szCs w:val="22"/>
              </w:rPr>
            </w:pPr>
            <w:r w:rsidRPr="00B22160">
              <w:rPr>
                <w:rFonts w:ascii="Calibri" w:hAnsi="Calibri"/>
                <w:sz w:val="22"/>
                <w:szCs w:val="22"/>
              </w:rPr>
              <w:t>103</w:t>
            </w:r>
          </w:p>
        </w:tc>
        <w:tc>
          <w:tcPr>
            <w:tcW w:w="528" w:type="pct"/>
            <w:shd w:val="clear" w:color="auto" w:fill="auto"/>
            <w:noWrap/>
            <w:vAlign w:val="bottom"/>
          </w:tcPr>
          <w:p w:rsidR="00B22160" w:rsidRPr="00B22160" w:rsidRDefault="002E29C1" w:rsidP="00B22160">
            <w:pPr>
              <w:spacing w:after="0"/>
              <w:jc w:val="right"/>
              <w:rPr>
                <w:rFonts w:ascii="Calibri" w:hAnsi="Calibri"/>
                <w:sz w:val="22"/>
                <w:szCs w:val="22"/>
              </w:rPr>
            </w:pPr>
            <w:r w:rsidRPr="00B22160">
              <w:rPr>
                <w:rFonts w:ascii="Calibri" w:hAnsi="Calibri"/>
                <w:sz w:val="22"/>
                <w:szCs w:val="22"/>
              </w:rPr>
              <w:t>0</w:t>
            </w:r>
          </w:p>
        </w:tc>
        <w:tc>
          <w:tcPr>
            <w:tcW w:w="734" w:type="pct"/>
            <w:shd w:val="clear" w:color="auto" w:fill="auto"/>
            <w:noWrap/>
            <w:vAlign w:val="bottom"/>
          </w:tcPr>
          <w:p w:rsidR="00B22160" w:rsidRPr="00B22160" w:rsidRDefault="002E29C1" w:rsidP="00B22160">
            <w:pPr>
              <w:spacing w:after="0"/>
              <w:jc w:val="right"/>
              <w:rPr>
                <w:rFonts w:ascii="Calibri" w:hAnsi="Calibri"/>
                <w:sz w:val="22"/>
                <w:szCs w:val="22"/>
              </w:rPr>
            </w:pPr>
            <w:r w:rsidRPr="00B22160">
              <w:rPr>
                <w:rFonts w:ascii="Calibri" w:hAnsi="Calibri"/>
                <w:sz w:val="22"/>
                <w:szCs w:val="22"/>
              </w:rPr>
              <w:t>544</w:t>
            </w:r>
          </w:p>
        </w:tc>
        <w:tc>
          <w:tcPr>
            <w:tcW w:w="579" w:type="pct"/>
            <w:shd w:val="clear" w:color="auto" w:fill="auto"/>
            <w:noWrap/>
            <w:vAlign w:val="bottom"/>
          </w:tcPr>
          <w:p w:rsidR="00B22160" w:rsidRPr="00B22160" w:rsidRDefault="002E29C1" w:rsidP="00B22160">
            <w:pPr>
              <w:spacing w:after="0"/>
              <w:jc w:val="right"/>
              <w:rPr>
                <w:rFonts w:ascii="Calibri" w:hAnsi="Calibri"/>
                <w:sz w:val="22"/>
                <w:szCs w:val="22"/>
              </w:rPr>
            </w:pPr>
            <w:r w:rsidRPr="00B22160">
              <w:rPr>
                <w:rFonts w:ascii="Calibri" w:hAnsi="Calibri"/>
                <w:sz w:val="22"/>
                <w:szCs w:val="22"/>
              </w:rPr>
              <w:t>4</w:t>
            </w:r>
          </w:p>
        </w:tc>
        <w:tc>
          <w:tcPr>
            <w:tcW w:w="724" w:type="pct"/>
            <w:shd w:val="clear" w:color="auto" w:fill="auto"/>
            <w:noWrap/>
            <w:vAlign w:val="bottom"/>
          </w:tcPr>
          <w:p w:rsidR="00B22160" w:rsidRPr="00B22160" w:rsidRDefault="002E29C1" w:rsidP="00B22160">
            <w:pPr>
              <w:spacing w:after="0"/>
              <w:jc w:val="right"/>
              <w:rPr>
                <w:rFonts w:ascii="Calibri" w:hAnsi="Calibri"/>
                <w:sz w:val="22"/>
                <w:szCs w:val="22"/>
              </w:rPr>
            </w:pPr>
            <w:r w:rsidRPr="00B22160">
              <w:rPr>
                <w:rFonts w:ascii="Calibri" w:hAnsi="Calibri"/>
                <w:sz w:val="22"/>
                <w:szCs w:val="22"/>
              </w:rPr>
              <w:t>160</w:t>
            </w:r>
          </w:p>
        </w:tc>
        <w:tc>
          <w:tcPr>
            <w:tcW w:w="489" w:type="pct"/>
            <w:shd w:val="clear" w:color="auto" w:fill="auto"/>
            <w:noWrap/>
            <w:vAlign w:val="bottom"/>
          </w:tcPr>
          <w:p w:rsidR="00B22160" w:rsidRPr="00B22160" w:rsidRDefault="002E29C1" w:rsidP="00B22160">
            <w:pPr>
              <w:spacing w:after="0"/>
              <w:jc w:val="right"/>
              <w:rPr>
                <w:rFonts w:ascii="Calibri" w:hAnsi="Calibri"/>
                <w:sz w:val="22"/>
                <w:szCs w:val="22"/>
              </w:rPr>
            </w:pPr>
            <w:r w:rsidRPr="00B22160">
              <w:rPr>
                <w:rFonts w:ascii="Calibri" w:hAnsi="Calibri"/>
                <w:sz w:val="22"/>
                <w:szCs w:val="22"/>
              </w:rPr>
              <w:t>999</w:t>
            </w:r>
          </w:p>
        </w:tc>
      </w:tr>
      <w:tr w:rsidR="00040D04" w:rsidTr="00057B6B">
        <w:trPr>
          <w:trHeight w:val="20"/>
        </w:trPr>
        <w:tc>
          <w:tcPr>
            <w:tcW w:w="775" w:type="pct"/>
            <w:shd w:val="clear" w:color="auto" w:fill="auto"/>
            <w:noWrap/>
            <w:vAlign w:val="bottom"/>
          </w:tcPr>
          <w:p w:rsidR="00B22160" w:rsidRPr="00B22160" w:rsidRDefault="002E29C1" w:rsidP="00B22160">
            <w:pPr>
              <w:spacing w:after="0"/>
              <w:ind w:firstLineChars="100" w:firstLine="220"/>
              <w:jc w:val="left"/>
              <w:rPr>
                <w:rFonts w:ascii="Calibri" w:hAnsi="Calibri"/>
                <w:sz w:val="22"/>
                <w:szCs w:val="22"/>
              </w:rPr>
            </w:pPr>
            <w:r w:rsidRPr="00B22160">
              <w:rPr>
                <w:rFonts w:ascii="Calibri" w:hAnsi="Calibri"/>
                <w:sz w:val="22"/>
                <w:szCs w:val="22"/>
              </w:rPr>
              <w:t>AUGUST</w:t>
            </w:r>
          </w:p>
        </w:tc>
        <w:tc>
          <w:tcPr>
            <w:tcW w:w="644" w:type="pct"/>
            <w:shd w:val="clear" w:color="auto" w:fill="auto"/>
            <w:noWrap/>
            <w:vAlign w:val="bottom"/>
          </w:tcPr>
          <w:p w:rsidR="00B22160" w:rsidRPr="00B22160" w:rsidRDefault="002E29C1" w:rsidP="00B22160">
            <w:pPr>
              <w:spacing w:after="0"/>
              <w:jc w:val="right"/>
              <w:rPr>
                <w:rFonts w:ascii="Calibri" w:hAnsi="Calibri"/>
                <w:sz w:val="22"/>
                <w:szCs w:val="22"/>
              </w:rPr>
            </w:pPr>
            <w:r w:rsidRPr="00B22160">
              <w:rPr>
                <w:rFonts w:ascii="Calibri" w:hAnsi="Calibri"/>
                <w:sz w:val="22"/>
                <w:szCs w:val="22"/>
              </w:rPr>
              <w:t>175</w:t>
            </w:r>
          </w:p>
        </w:tc>
        <w:tc>
          <w:tcPr>
            <w:tcW w:w="527" w:type="pct"/>
            <w:shd w:val="clear" w:color="auto" w:fill="auto"/>
            <w:noWrap/>
            <w:vAlign w:val="bottom"/>
          </w:tcPr>
          <w:p w:rsidR="00B22160" w:rsidRPr="00B22160" w:rsidRDefault="002E29C1" w:rsidP="00B22160">
            <w:pPr>
              <w:spacing w:after="0"/>
              <w:jc w:val="right"/>
              <w:rPr>
                <w:rFonts w:ascii="Calibri" w:hAnsi="Calibri"/>
                <w:sz w:val="22"/>
                <w:szCs w:val="22"/>
              </w:rPr>
            </w:pPr>
            <w:r w:rsidRPr="00B22160">
              <w:rPr>
                <w:rFonts w:ascii="Calibri" w:hAnsi="Calibri"/>
                <w:sz w:val="22"/>
                <w:szCs w:val="22"/>
              </w:rPr>
              <w:t>130</w:t>
            </w:r>
          </w:p>
        </w:tc>
        <w:tc>
          <w:tcPr>
            <w:tcW w:w="528" w:type="pct"/>
            <w:shd w:val="clear" w:color="auto" w:fill="auto"/>
            <w:noWrap/>
            <w:vAlign w:val="bottom"/>
          </w:tcPr>
          <w:p w:rsidR="00B22160" w:rsidRPr="00B22160" w:rsidRDefault="002E29C1" w:rsidP="00B22160">
            <w:pPr>
              <w:spacing w:after="0"/>
              <w:jc w:val="right"/>
              <w:rPr>
                <w:rFonts w:ascii="Calibri" w:hAnsi="Calibri"/>
                <w:sz w:val="22"/>
                <w:szCs w:val="22"/>
              </w:rPr>
            </w:pPr>
            <w:r w:rsidRPr="00B22160">
              <w:rPr>
                <w:rFonts w:ascii="Calibri" w:hAnsi="Calibri"/>
                <w:sz w:val="22"/>
                <w:szCs w:val="22"/>
              </w:rPr>
              <w:t>0</w:t>
            </w:r>
          </w:p>
        </w:tc>
        <w:tc>
          <w:tcPr>
            <w:tcW w:w="734" w:type="pct"/>
            <w:shd w:val="clear" w:color="auto" w:fill="auto"/>
            <w:noWrap/>
            <w:vAlign w:val="bottom"/>
          </w:tcPr>
          <w:p w:rsidR="00B22160" w:rsidRPr="00B22160" w:rsidRDefault="002E29C1" w:rsidP="00B22160">
            <w:pPr>
              <w:spacing w:after="0"/>
              <w:jc w:val="right"/>
              <w:rPr>
                <w:rFonts w:ascii="Calibri" w:hAnsi="Calibri"/>
                <w:sz w:val="22"/>
                <w:szCs w:val="22"/>
              </w:rPr>
            </w:pPr>
            <w:r w:rsidRPr="00B22160">
              <w:rPr>
                <w:rFonts w:ascii="Calibri" w:hAnsi="Calibri"/>
                <w:sz w:val="22"/>
                <w:szCs w:val="22"/>
              </w:rPr>
              <w:t>677</w:t>
            </w:r>
          </w:p>
        </w:tc>
        <w:tc>
          <w:tcPr>
            <w:tcW w:w="579" w:type="pct"/>
            <w:shd w:val="clear" w:color="auto" w:fill="auto"/>
            <w:noWrap/>
            <w:vAlign w:val="bottom"/>
          </w:tcPr>
          <w:p w:rsidR="00B22160" w:rsidRPr="00B22160" w:rsidRDefault="002E29C1" w:rsidP="00B22160">
            <w:pPr>
              <w:spacing w:after="0"/>
              <w:jc w:val="right"/>
              <w:rPr>
                <w:rFonts w:ascii="Calibri" w:hAnsi="Calibri"/>
                <w:sz w:val="22"/>
                <w:szCs w:val="22"/>
              </w:rPr>
            </w:pPr>
            <w:r w:rsidRPr="00B22160">
              <w:rPr>
                <w:rFonts w:ascii="Calibri" w:hAnsi="Calibri"/>
                <w:sz w:val="22"/>
                <w:szCs w:val="22"/>
              </w:rPr>
              <w:t>7</w:t>
            </w:r>
          </w:p>
        </w:tc>
        <w:tc>
          <w:tcPr>
            <w:tcW w:w="724" w:type="pct"/>
            <w:shd w:val="clear" w:color="auto" w:fill="auto"/>
            <w:noWrap/>
            <w:vAlign w:val="bottom"/>
          </w:tcPr>
          <w:p w:rsidR="00B22160" w:rsidRPr="00B22160" w:rsidRDefault="002E29C1" w:rsidP="00B22160">
            <w:pPr>
              <w:spacing w:after="0"/>
              <w:jc w:val="right"/>
              <w:rPr>
                <w:rFonts w:ascii="Calibri" w:hAnsi="Calibri"/>
                <w:sz w:val="22"/>
                <w:szCs w:val="22"/>
              </w:rPr>
            </w:pPr>
            <w:r w:rsidRPr="00B22160">
              <w:rPr>
                <w:rFonts w:ascii="Calibri" w:hAnsi="Calibri"/>
                <w:sz w:val="22"/>
                <w:szCs w:val="22"/>
              </w:rPr>
              <w:t>191</w:t>
            </w:r>
          </w:p>
        </w:tc>
        <w:tc>
          <w:tcPr>
            <w:tcW w:w="489" w:type="pct"/>
            <w:shd w:val="clear" w:color="auto" w:fill="auto"/>
            <w:noWrap/>
            <w:vAlign w:val="bottom"/>
          </w:tcPr>
          <w:p w:rsidR="00B22160" w:rsidRPr="00B22160" w:rsidRDefault="002E29C1" w:rsidP="00B22160">
            <w:pPr>
              <w:spacing w:after="0"/>
              <w:jc w:val="right"/>
              <w:rPr>
                <w:rFonts w:ascii="Calibri" w:hAnsi="Calibri"/>
                <w:sz w:val="22"/>
                <w:szCs w:val="22"/>
              </w:rPr>
            </w:pPr>
            <w:r w:rsidRPr="00B22160">
              <w:rPr>
                <w:rFonts w:ascii="Calibri" w:hAnsi="Calibri"/>
                <w:sz w:val="22"/>
                <w:szCs w:val="22"/>
              </w:rPr>
              <w:t>1180</w:t>
            </w:r>
          </w:p>
        </w:tc>
      </w:tr>
    </w:tbl>
    <w:p w:rsidR="00433A4D" w:rsidRPr="00B22160" w:rsidRDefault="00AC7EBD" w:rsidP="00433A4D">
      <w:pPr>
        <w:rPr>
          <w:sz w:val="12"/>
        </w:rPr>
      </w:pPr>
    </w:p>
    <w:p w:rsidR="00D20769" w:rsidRPr="00B22160" w:rsidRDefault="002E29C1" w:rsidP="0069758B">
      <w:pPr>
        <w:pStyle w:val="Heading2"/>
      </w:pPr>
      <w:bookmarkStart w:id="13" w:name="_Toc520456206"/>
      <w:r w:rsidRPr="00B22160">
        <w:lastRenderedPageBreak/>
        <w:t>Provider Analysis – Acute/Non-Acute</w:t>
      </w:r>
      <w:bookmarkEnd w:id="13"/>
    </w:p>
    <w:p w:rsidR="00F538D9" w:rsidRPr="006912C6" w:rsidRDefault="002E29C1" w:rsidP="00F538D9">
      <w:pPr>
        <w:rPr>
          <w:lang w:eastAsia="en-GB"/>
        </w:rPr>
      </w:pPr>
      <w:r w:rsidRPr="00B22160">
        <w:rPr>
          <w:lang w:eastAsia="en-GB"/>
        </w:rPr>
        <w:t>The acute/non-</w:t>
      </w:r>
      <w:r w:rsidRPr="006912C6">
        <w:rPr>
          <w:lang w:eastAsia="en-GB"/>
        </w:rPr>
        <w:t>acute Aug-18 totals for Lancashire residents only at the six main providers were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0"/>
        <w:gridCol w:w="1326"/>
        <w:gridCol w:w="1328"/>
        <w:gridCol w:w="1328"/>
        <w:gridCol w:w="1328"/>
      </w:tblGrid>
      <w:tr w:rsidR="00040D04" w:rsidTr="006912C6">
        <w:trPr>
          <w:trHeight w:val="170"/>
        </w:trPr>
        <w:tc>
          <w:tcPr>
            <w:tcW w:w="2053" w:type="pct"/>
            <w:shd w:val="clear" w:color="4F81BD" w:fill="4F81BD"/>
            <w:noWrap/>
            <w:vAlign w:val="bottom"/>
            <w:hideMark/>
          </w:tcPr>
          <w:p w:rsidR="00102B61" w:rsidRPr="00102B61" w:rsidRDefault="002E29C1" w:rsidP="00102B61">
            <w:pPr>
              <w:autoSpaceDE/>
              <w:autoSpaceDN/>
              <w:adjustRightInd/>
              <w:spacing w:after="0"/>
              <w:jc w:val="left"/>
              <w:rPr>
                <w:rFonts w:ascii="Calibri" w:eastAsia="Times New Roman" w:hAnsi="Calibri" w:cs="Times New Roman"/>
                <w:b/>
                <w:bCs/>
                <w:color w:val="FFFFFF"/>
                <w:sz w:val="20"/>
                <w:szCs w:val="22"/>
                <w:lang w:eastAsia="en-GB"/>
              </w:rPr>
            </w:pPr>
            <w:r w:rsidRPr="006912C6">
              <w:rPr>
                <w:rFonts w:ascii="Calibri" w:eastAsia="Times New Roman" w:hAnsi="Calibri" w:cs="Times New Roman"/>
                <w:b/>
                <w:bCs/>
                <w:color w:val="FFFFFF"/>
                <w:sz w:val="20"/>
                <w:szCs w:val="20"/>
                <w:lang w:eastAsia="en-GB"/>
              </w:rPr>
              <w:t>Provider and acute/non-acute numbers of delayed days</w:t>
            </w:r>
          </w:p>
        </w:tc>
        <w:tc>
          <w:tcPr>
            <w:tcW w:w="736" w:type="pct"/>
            <w:shd w:val="clear" w:color="4F81BD" w:fill="4F81BD"/>
            <w:noWrap/>
            <w:vAlign w:val="bottom"/>
            <w:hideMark/>
          </w:tcPr>
          <w:p w:rsidR="00102B61" w:rsidRPr="00102B61" w:rsidRDefault="002E29C1" w:rsidP="00102B61">
            <w:pPr>
              <w:autoSpaceDE/>
              <w:autoSpaceDN/>
              <w:adjustRightInd/>
              <w:spacing w:after="0"/>
              <w:jc w:val="left"/>
              <w:rPr>
                <w:rFonts w:ascii="Calibri" w:eastAsia="Times New Roman" w:hAnsi="Calibri" w:cs="Times New Roman"/>
                <w:b/>
                <w:bCs/>
                <w:color w:val="FFFFFF"/>
                <w:sz w:val="20"/>
                <w:szCs w:val="22"/>
                <w:lang w:eastAsia="en-GB"/>
              </w:rPr>
            </w:pPr>
            <w:r w:rsidRPr="00102B61">
              <w:rPr>
                <w:rFonts w:ascii="Calibri" w:eastAsia="Times New Roman" w:hAnsi="Calibri" w:cs="Times New Roman"/>
                <w:b/>
                <w:bCs/>
                <w:color w:val="FFFFFF"/>
                <w:sz w:val="20"/>
                <w:szCs w:val="22"/>
                <w:lang w:eastAsia="en-GB"/>
              </w:rPr>
              <w:t>Sum of NHS Days</w:t>
            </w:r>
          </w:p>
        </w:tc>
        <w:tc>
          <w:tcPr>
            <w:tcW w:w="737" w:type="pct"/>
            <w:shd w:val="clear" w:color="4F81BD" w:fill="4F81BD"/>
            <w:noWrap/>
            <w:vAlign w:val="bottom"/>
            <w:hideMark/>
          </w:tcPr>
          <w:p w:rsidR="00102B61" w:rsidRPr="00102B61" w:rsidRDefault="002E29C1" w:rsidP="00102B61">
            <w:pPr>
              <w:autoSpaceDE/>
              <w:autoSpaceDN/>
              <w:adjustRightInd/>
              <w:spacing w:after="0"/>
              <w:jc w:val="left"/>
              <w:rPr>
                <w:rFonts w:ascii="Calibri" w:eastAsia="Times New Roman" w:hAnsi="Calibri" w:cs="Times New Roman"/>
                <w:b/>
                <w:bCs/>
                <w:color w:val="FFFFFF"/>
                <w:sz w:val="20"/>
                <w:szCs w:val="22"/>
                <w:lang w:eastAsia="en-GB"/>
              </w:rPr>
            </w:pPr>
            <w:r w:rsidRPr="00102B61">
              <w:rPr>
                <w:rFonts w:ascii="Calibri" w:eastAsia="Times New Roman" w:hAnsi="Calibri" w:cs="Times New Roman"/>
                <w:b/>
                <w:bCs/>
                <w:color w:val="FFFFFF"/>
                <w:sz w:val="20"/>
                <w:szCs w:val="22"/>
                <w:lang w:eastAsia="en-GB"/>
              </w:rPr>
              <w:t>Sum of Social Care Days</w:t>
            </w:r>
          </w:p>
        </w:tc>
        <w:tc>
          <w:tcPr>
            <w:tcW w:w="737" w:type="pct"/>
            <w:shd w:val="clear" w:color="4F81BD" w:fill="4F81BD"/>
            <w:noWrap/>
            <w:vAlign w:val="bottom"/>
            <w:hideMark/>
          </w:tcPr>
          <w:p w:rsidR="00102B61" w:rsidRPr="00102B61" w:rsidRDefault="002E29C1" w:rsidP="00102B61">
            <w:pPr>
              <w:autoSpaceDE/>
              <w:autoSpaceDN/>
              <w:adjustRightInd/>
              <w:spacing w:after="0"/>
              <w:jc w:val="left"/>
              <w:rPr>
                <w:rFonts w:ascii="Calibri" w:eastAsia="Times New Roman" w:hAnsi="Calibri" w:cs="Times New Roman"/>
                <w:b/>
                <w:bCs/>
                <w:color w:val="FFFFFF"/>
                <w:sz w:val="20"/>
                <w:szCs w:val="22"/>
                <w:lang w:eastAsia="en-GB"/>
              </w:rPr>
            </w:pPr>
            <w:r w:rsidRPr="00102B61">
              <w:rPr>
                <w:rFonts w:ascii="Calibri" w:eastAsia="Times New Roman" w:hAnsi="Calibri" w:cs="Times New Roman"/>
                <w:b/>
                <w:bCs/>
                <w:color w:val="FFFFFF"/>
                <w:sz w:val="20"/>
                <w:szCs w:val="22"/>
                <w:lang w:eastAsia="en-GB"/>
              </w:rPr>
              <w:t>Sum of NHS and Social Care Days</w:t>
            </w:r>
          </w:p>
        </w:tc>
        <w:tc>
          <w:tcPr>
            <w:tcW w:w="737" w:type="pct"/>
            <w:shd w:val="clear" w:color="4F81BD" w:fill="4F81BD"/>
            <w:noWrap/>
            <w:vAlign w:val="bottom"/>
            <w:hideMark/>
          </w:tcPr>
          <w:p w:rsidR="00102B61" w:rsidRPr="00102B61" w:rsidRDefault="002E29C1" w:rsidP="00102B61">
            <w:pPr>
              <w:autoSpaceDE/>
              <w:autoSpaceDN/>
              <w:adjustRightInd/>
              <w:spacing w:after="0"/>
              <w:jc w:val="left"/>
              <w:rPr>
                <w:rFonts w:ascii="Calibri" w:eastAsia="Times New Roman" w:hAnsi="Calibri" w:cs="Times New Roman"/>
                <w:b/>
                <w:bCs/>
                <w:color w:val="FFFFFF"/>
                <w:sz w:val="20"/>
                <w:szCs w:val="22"/>
                <w:lang w:eastAsia="en-GB"/>
              </w:rPr>
            </w:pPr>
            <w:r w:rsidRPr="00102B61">
              <w:rPr>
                <w:rFonts w:ascii="Calibri" w:eastAsia="Times New Roman" w:hAnsi="Calibri" w:cs="Times New Roman"/>
                <w:b/>
                <w:bCs/>
                <w:color w:val="FFFFFF"/>
                <w:sz w:val="20"/>
                <w:szCs w:val="22"/>
                <w:lang w:eastAsia="en-GB"/>
              </w:rPr>
              <w:t>Sum of Total Days</w:t>
            </w:r>
          </w:p>
        </w:tc>
      </w:tr>
      <w:tr w:rsidR="00040D04" w:rsidTr="006912C6">
        <w:trPr>
          <w:trHeight w:val="170"/>
        </w:trPr>
        <w:tc>
          <w:tcPr>
            <w:tcW w:w="2053" w:type="pct"/>
            <w:shd w:val="clear" w:color="DCE6F1" w:fill="DCE6F1"/>
            <w:noWrap/>
            <w:vAlign w:val="bottom"/>
            <w:hideMark/>
          </w:tcPr>
          <w:p w:rsidR="00102B61" w:rsidRPr="00102B61" w:rsidRDefault="002E29C1" w:rsidP="00102B61">
            <w:pPr>
              <w:autoSpaceDE/>
              <w:autoSpaceDN/>
              <w:adjustRightInd/>
              <w:spacing w:after="0"/>
              <w:jc w:val="left"/>
              <w:rPr>
                <w:rFonts w:ascii="Calibri" w:eastAsia="Times New Roman" w:hAnsi="Calibri" w:cs="Times New Roman"/>
                <w:b/>
                <w:bCs/>
                <w:sz w:val="20"/>
                <w:szCs w:val="22"/>
                <w:lang w:eastAsia="en-GB"/>
              </w:rPr>
            </w:pPr>
            <w:r w:rsidRPr="00102B61">
              <w:rPr>
                <w:rFonts w:ascii="Calibri" w:eastAsia="Times New Roman" w:hAnsi="Calibri" w:cs="Times New Roman"/>
                <w:b/>
                <w:bCs/>
                <w:sz w:val="20"/>
                <w:szCs w:val="22"/>
                <w:lang w:eastAsia="en-GB"/>
              </w:rPr>
              <w:t>BLACKPOOL TEACHING HOSPITALS NHS FOUNDATION TRUST</w:t>
            </w:r>
          </w:p>
        </w:tc>
        <w:tc>
          <w:tcPr>
            <w:tcW w:w="736" w:type="pct"/>
            <w:shd w:val="clear" w:color="DCE6F1" w:fill="DCE6F1"/>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b/>
                <w:bCs/>
                <w:sz w:val="20"/>
                <w:szCs w:val="22"/>
                <w:lang w:eastAsia="en-GB"/>
              </w:rPr>
            </w:pPr>
            <w:r w:rsidRPr="00102B61">
              <w:rPr>
                <w:rFonts w:ascii="Calibri" w:eastAsia="Times New Roman" w:hAnsi="Calibri" w:cs="Times New Roman"/>
                <w:b/>
                <w:bCs/>
                <w:sz w:val="20"/>
                <w:szCs w:val="22"/>
                <w:lang w:eastAsia="en-GB"/>
              </w:rPr>
              <w:t>178</w:t>
            </w:r>
          </w:p>
        </w:tc>
        <w:tc>
          <w:tcPr>
            <w:tcW w:w="737" w:type="pct"/>
            <w:shd w:val="clear" w:color="DCE6F1" w:fill="DCE6F1"/>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b/>
                <w:bCs/>
                <w:sz w:val="20"/>
                <w:szCs w:val="22"/>
                <w:lang w:eastAsia="en-GB"/>
              </w:rPr>
            </w:pPr>
            <w:r w:rsidRPr="00102B61">
              <w:rPr>
                <w:rFonts w:ascii="Calibri" w:eastAsia="Times New Roman" w:hAnsi="Calibri" w:cs="Times New Roman"/>
                <w:b/>
                <w:bCs/>
                <w:sz w:val="20"/>
                <w:szCs w:val="22"/>
                <w:lang w:eastAsia="en-GB"/>
              </w:rPr>
              <w:t>175</w:t>
            </w:r>
          </w:p>
        </w:tc>
        <w:tc>
          <w:tcPr>
            <w:tcW w:w="737" w:type="pct"/>
            <w:shd w:val="clear" w:color="DCE6F1" w:fill="DCE6F1"/>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b/>
                <w:bCs/>
                <w:sz w:val="20"/>
                <w:szCs w:val="22"/>
                <w:lang w:eastAsia="en-GB"/>
              </w:rPr>
            </w:pPr>
            <w:r w:rsidRPr="00102B61">
              <w:rPr>
                <w:rFonts w:ascii="Calibri" w:eastAsia="Times New Roman" w:hAnsi="Calibri" w:cs="Times New Roman"/>
                <w:b/>
                <w:bCs/>
                <w:sz w:val="20"/>
                <w:szCs w:val="22"/>
                <w:lang w:eastAsia="en-GB"/>
              </w:rPr>
              <w:t>18</w:t>
            </w:r>
          </w:p>
        </w:tc>
        <w:tc>
          <w:tcPr>
            <w:tcW w:w="737" w:type="pct"/>
            <w:shd w:val="clear" w:color="DCE6F1" w:fill="DCE6F1"/>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b/>
                <w:bCs/>
                <w:sz w:val="20"/>
                <w:szCs w:val="22"/>
                <w:lang w:eastAsia="en-GB"/>
              </w:rPr>
            </w:pPr>
            <w:r w:rsidRPr="00102B61">
              <w:rPr>
                <w:rFonts w:ascii="Calibri" w:eastAsia="Times New Roman" w:hAnsi="Calibri" w:cs="Times New Roman"/>
                <w:b/>
                <w:bCs/>
                <w:sz w:val="20"/>
                <w:szCs w:val="22"/>
                <w:lang w:eastAsia="en-GB"/>
              </w:rPr>
              <w:t>371</w:t>
            </w:r>
          </w:p>
        </w:tc>
      </w:tr>
      <w:tr w:rsidR="00040D04" w:rsidTr="006912C6">
        <w:trPr>
          <w:trHeight w:val="170"/>
        </w:trPr>
        <w:tc>
          <w:tcPr>
            <w:tcW w:w="2053" w:type="pct"/>
            <w:shd w:val="clear" w:color="auto" w:fill="auto"/>
            <w:noWrap/>
            <w:vAlign w:val="bottom"/>
            <w:hideMark/>
          </w:tcPr>
          <w:p w:rsidR="00102B61" w:rsidRPr="00102B61" w:rsidRDefault="002E29C1" w:rsidP="00102B61">
            <w:pPr>
              <w:autoSpaceDE/>
              <w:autoSpaceDN/>
              <w:adjustRightInd/>
              <w:spacing w:after="0"/>
              <w:ind w:firstLineChars="100" w:firstLine="200"/>
              <w:jc w:val="lef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Acute</w:t>
            </w:r>
          </w:p>
        </w:tc>
        <w:tc>
          <w:tcPr>
            <w:tcW w:w="736" w:type="pct"/>
            <w:shd w:val="clear" w:color="auto" w:fill="auto"/>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121</w:t>
            </w:r>
          </w:p>
        </w:tc>
        <w:tc>
          <w:tcPr>
            <w:tcW w:w="737" w:type="pct"/>
            <w:shd w:val="clear" w:color="auto" w:fill="auto"/>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117</w:t>
            </w:r>
          </w:p>
        </w:tc>
        <w:tc>
          <w:tcPr>
            <w:tcW w:w="737" w:type="pct"/>
            <w:shd w:val="clear" w:color="auto" w:fill="auto"/>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18</w:t>
            </w:r>
          </w:p>
        </w:tc>
        <w:tc>
          <w:tcPr>
            <w:tcW w:w="737" w:type="pct"/>
            <w:shd w:val="clear" w:color="auto" w:fill="auto"/>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256</w:t>
            </w:r>
          </w:p>
        </w:tc>
      </w:tr>
      <w:tr w:rsidR="00040D04" w:rsidTr="006912C6">
        <w:trPr>
          <w:trHeight w:val="170"/>
        </w:trPr>
        <w:tc>
          <w:tcPr>
            <w:tcW w:w="2053" w:type="pct"/>
            <w:shd w:val="clear" w:color="auto" w:fill="auto"/>
            <w:noWrap/>
            <w:vAlign w:val="bottom"/>
            <w:hideMark/>
          </w:tcPr>
          <w:p w:rsidR="00102B61" w:rsidRPr="00102B61" w:rsidRDefault="002E29C1" w:rsidP="00102B61">
            <w:pPr>
              <w:autoSpaceDE/>
              <w:autoSpaceDN/>
              <w:adjustRightInd/>
              <w:spacing w:after="0"/>
              <w:ind w:firstLineChars="100" w:firstLine="200"/>
              <w:jc w:val="lef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Non-Acute</w:t>
            </w:r>
          </w:p>
        </w:tc>
        <w:tc>
          <w:tcPr>
            <w:tcW w:w="736" w:type="pct"/>
            <w:shd w:val="clear" w:color="auto" w:fill="auto"/>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57</w:t>
            </w:r>
          </w:p>
        </w:tc>
        <w:tc>
          <w:tcPr>
            <w:tcW w:w="737" w:type="pct"/>
            <w:shd w:val="clear" w:color="auto" w:fill="auto"/>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58</w:t>
            </w:r>
          </w:p>
        </w:tc>
        <w:tc>
          <w:tcPr>
            <w:tcW w:w="737" w:type="pct"/>
            <w:shd w:val="clear" w:color="auto" w:fill="auto"/>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0</w:t>
            </w:r>
          </w:p>
        </w:tc>
        <w:tc>
          <w:tcPr>
            <w:tcW w:w="737" w:type="pct"/>
            <w:shd w:val="clear" w:color="auto" w:fill="auto"/>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115</w:t>
            </w:r>
          </w:p>
        </w:tc>
      </w:tr>
      <w:tr w:rsidR="00040D04" w:rsidTr="006912C6">
        <w:trPr>
          <w:trHeight w:val="170"/>
        </w:trPr>
        <w:tc>
          <w:tcPr>
            <w:tcW w:w="2053" w:type="pct"/>
            <w:shd w:val="clear" w:color="DCE6F1" w:fill="DCE6F1"/>
            <w:noWrap/>
            <w:vAlign w:val="bottom"/>
            <w:hideMark/>
          </w:tcPr>
          <w:p w:rsidR="00102B61" w:rsidRPr="00102B61" w:rsidRDefault="002E29C1" w:rsidP="00102B61">
            <w:pPr>
              <w:autoSpaceDE/>
              <w:autoSpaceDN/>
              <w:adjustRightInd/>
              <w:spacing w:after="0"/>
              <w:jc w:val="left"/>
              <w:rPr>
                <w:rFonts w:ascii="Calibri" w:eastAsia="Times New Roman" w:hAnsi="Calibri" w:cs="Times New Roman"/>
                <w:b/>
                <w:bCs/>
                <w:sz w:val="20"/>
                <w:szCs w:val="22"/>
                <w:lang w:eastAsia="en-GB"/>
              </w:rPr>
            </w:pPr>
            <w:r w:rsidRPr="00102B61">
              <w:rPr>
                <w:rFonts w:ascii="Calibri" w:eastAsia="Times New Roman" w:hAnsi="Calibri" w:cs="Times New Roman"/>
                <w:b/>
                <w:bCs/>
                <w:sz w:val="20"/>
                <w:szCs w:val="22"/>
                <w:lang w:eastAsia="en-GB"/>
              </w:rPr>
              <w:t>EAST LANCASHIRE HOSPITALS NHS TRUST</w:t>
            </w:r>
          </w:p>
        </w:tc>
        <w:tc>
          <w:tcPr>
            <w:tcW w:w="736" w:type="pct"/>
            <w:shd w:val="clear" w:color="DCE6F1" w:fill="DCE6F1"/>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b/>
                <w:bCs/>
                <w:sz w:val="20"/>
                <w:szCs w:val="22"/>
                <w:lang w:eastAsia="en-GB"/>
              </w:rPr>
            </w:pPr>
            <w:r w:rsidRPr="00102B61">
              <w:rPr>
                <w:rFonts w:ascii="Calibri" w:eastAsia="Times New Roman" w:hAnsi="Calibri" w:cs="Times New Roman"/>
                <w:b/>
                <w:bCs/>
                <w:sz w:val="20"/>
                <w:szCs w:val="22"/>
                <w:lang w:eastAsia="en-GB"/>
              </w:rPr>
              <w:t>419</w:t>
            </w:r>
          </w:p>
        </w:tc>
        <w:tc>
          <w:tcPr>
            <w:tcW w:w="737" w:type="pct"/>
            <w:shd w:val="clear" w:color="DCE6F1" w:fill="DCE6F1"/>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b/>
                <w:bCs/>
                <w:sz w:val="20"/>
                <w:szCs w:val="22"/>
                <w:lang w:eastAsia="en-GB"/>
              </w:rPr>
            </w:pPr>
            <w:r w:rsidRPr="00102B61">
              <w:rPr>
                <w:rFonts w:ascii="Calibri" w:eastAsia="Times New Roman" w:hAnsi="Calibri" w:cs="Times New Roman"/>
                <w:b/>
                <w:bCs/>
                <w:sz w:val="20"/>
                <w:szCs w:val="22"/>
                <w:lang w:eastAsia="en-GB"/>
              </w:rPr>
              <w:t>130</w:t>
            </w:r>
          </w:p>
        </w:tc>
        <w:tc>
          <w:tcPr>
            <w:tcW w:w="737" w:type="pct"/>
            <w:shd w:val="clear" w:color="DCE6F1" w:fill="DCE6F1"/>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b/>
                <w:bCs/>
                <w:sz w:val="20"/>
                <w:szCs w:val="22"/>
                <w:lang w:eastAsia="en-GB"/>
              </w:rPr>
            </w:pPr>
            <w:r w:rsidRPr="00102B61">
              <w:rPr>
                <w:rFonts w:ascii="Calibri" w:eastAsia="Times New Roman" w:hAnsi="Calibri" w:cs="Times New Roman"/>
                <w:b/>
                <w:bCs/>
                <w:sz w:val="20"/>
                <w:szCs w:val="22"/>
                <w:lang w:eastAsia="en-GB"/>
              </w:rPr>
              <w:t>2</w:t>
            </w:r>
          </w:p>
        </w:tc>
        <w:tc>
          <w:tcPr>
            <w:tcW w:w="737" w:type="pct"/>
            <w:shd w:val="clear" w:color="DCE6F1" w:fill="DCE6F1"/>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b/>
                <w:bCs/>
                <w:sz w:val="20"/>
                <w:szCs w:val="22"/>
                <w:lang w:eastAsia="en-GB"/>
              </w:rPr>
            </w:pPr>
            <w:r w:rsidRPr="00102B61">
              <w:rPr>
                <w:rFonts w:ascii="Calibri" w:eastAsia="Times New Roman" w:hAnsi="Calibri" w:cs="Times New Roman"/>
                <w:b/>
                <w:bCs/>
                <w:sz w:val="20"/>
                <w:szCs w:val="22"/>
                <w:lang w:eastAsia="en-GB"/>
              </w:rPr>
              <w:t>551</w:t>
            </w:r>
          </w:p>
        </w:tc>
      </w:tr>
      <w:tr w:rsidR="00040D04" w:rsidTr="006912C6">
        <w:trPr>
          <w:trHeight w:val="170"/>
        </w:trPr>
        <w:tc>
          <w:tcPr>
            <w:tcW w:w="2053" w:type="pct"/>
            <w:shd w:val="clear" w:color="auto" w:fill="auto"/>
            <w:noWrap/>
            <w:vAlign w:val="bottom"/>
            <w:hideMark/>
          </w:tcPr>
          <w:p w:rsidR="00102B61" w:rsidRPr="00102B61" w:rsidRDefault="002E29C1" w:rsidP="00102B61">
            <w:pPr>
              <w:autoSpaceDE/>
              <w:autoSpaceDN/>
              <w:adjustRightInd/>
              <w:spacing w:after="0"/>
              <w:ind w:firstLineChars="100" w:firstLine="200"/>
              <w:jc w:val="lef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Acute</w:t>
            </w:r>
          </w:p>
        </w:tc>
        <w:tc>
          <w:tcPr>
            <w:tcW w:w="736" w:type="pct"/>
            <w:shd w:val="clear" w:color="auto" w:fill="auto"/>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195</w:t>
            </w:r>
          </w:p>
        </w:tc>
        <w:tc>
          <w:tcPr>
            <w:tcW w:w="737" w:type="pct"/>
            <w:shd w:val="clear" w:color="auto" w:fill="auto"/>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0</w:t>
            </w:r>
          </w:p>
        </w:tc>
        <w:tc>
          <w:tcPr>
            <w:tcW w:w="737" w:type="pct"/>
            <w:shd w:val="clear" w:color="auto" w:fill="auto"/>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0</w:t>
            </w:r>
          </w:p>
        </w:tc>
        <w:tc>
          <w:tcPr>
            <w:tcW w:w="737" w:type="pct"/>
            <w:shd w:val="clear" w:color="auto" w:fill="auto"/>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195</w:t>
            </w:r>
          </w:p>
        </w:tc>
      </w:tr>
      <w:tr w:rsidR="00040D04" w:rsidTr="006912C6">
        <w:trPr>
          <w:trHeight w:val="170"/>
        </w:trPr>
        <w:tc>
          <w:tcPr>
            <w:tcW w:w="2053" w:type="pct"/>
            <w:shd w:val="clear" w:color="auto" w:fill="auto"/>
            <w:noWrap/>
            <w:vAlign w:val="bottom"/>
            <w:hideMark/>
          </w:tcPr>
          <w:p w:rsidR="00102B61" w:rsidRPr="00102B61" w:rsidRDefault="002E29C1" w:rsidP="00102B61">
            <w:pPr>
              <w:autoSpaceDE/>
              <w:autoSpaceDN/>
              <w:adjustRightInd/>
              <w:spacing w:after="0"/>
              <w:ind w:firstLineChars="100" w:firstLine="200"/>
              <w:jc w:val="lef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Non-Acute</w:t>
            </w:r>
          </w:p>
        </w:tc>
        <w:tc>
          <w:tcPr>
            <w:tcW w:w="736" w:type="pct"/>
            <w:shd w:val="clear" w:color="auto" w:fill="auto"/>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224</w:t>
            </w:r>
          </w:p>
        </w:tc>
        <w:tc>
          <w:tcPr>
            <w:tcW w:w="737" w:type="pct"/>
            <w:shd w:val="clear" w:color="auto" w:fill="auto"/>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130</w:t>
            </w:r>
          </w:p>
        </w:tc>
        <w:tc>
          <w:tcPr>
            <w:tcW w:w="737" w:type="pct"/>
            <w:shd w:val="clear" w:color="auto" w:fill="auto"/>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2</w:t>
            </w:r>
          </w:p>
        </w:tc>
        <w:tc>
          <w:tcPr>
            <w:tcW w:w="737" w:type="pct"/>
            <w:shd w:val="clear" w:color="auto" w:fill="auto"/>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356</w:t>
            </w:r>
          </w:p>
        </w:tc>
      </w:tr>
      <w:tr w:rsidR="00040D04" w:rsidTr="006912C6">
        <w:trPr>
          <w:trHeight w:val="170"/>
        </w:trPr>
        <w:tc>
          <w:tcPr>
            <w:tcW w:w="2053" w:type="pct"/>
            <w:shd w:val="clear" w:color="DCE6F1" w:fill="DCE6F1"/>
            <w:noWrap/>
            <w:vAlign w:val="bottom"/>
            <w:hideMark/>
          </w:tcPr>
          <w:p w:rsidR="00102B61" w:rsidRPr="00102B61" w:rsidRDefault="002E29C1" w:rsidP="00102B61">
            <w:pPr>
              <w:autoSpaceDE/>
              <w:autoSpaceDN/>
              <w:adjustRightInd/>
              <w:spacing w:after="0"/>
              <w:jc w:val="left"/>
              <w:rPr>
                <w:rFonts w:ascii="Calibri" w:eastAsia="Times New Roman" w:hAnsi="Calibri" w:cs="Times New Roman"/>
                <w:b/>
                <w:bCs/>
                <w:sz w:val="20"/>
                <w:szCs w:val="22"/>
                <w:lang w:eastAsia="en-GB"/>
              </w:rPr>
            </w:pPr>
            <w:r w:rsidRPr="00102B61">
              <w:rPr>
                <w:rFonts w:ascii="Calibri" w:eastAsia="Times New Roman" w:hAnsi="Calibri" w:cs="Times New Roman"/>
                <w:b/>
                <w:bCs/>
                <w:sz w:val="20"/>
                <w:szCs w:val="22"/>
                <w:lang w:eastAsia="en-GB"/>
              </w:rPr>
              <w:t>LANCASHIRE CARE NHS FOUNDATION TRUST</w:t>
            </w:r>
          </w:p>
        </w:tc>
        <w:tc>
          <w:tcPr>
            <w:tcW w:w="736" w:type="pct"/>
            <w:shd w:val="clear" w:color="DCE6F1" w:fill="DCE6F1"/>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b/>
                <w:bCs/>
                <w:sz w:val="20"/>
                <w:szCs w:val="22"/>
                <w:lang w:eastAsia="en-GB"/>
              </w:rPr>
            </w:pPr>
            <w:r w:rsidRPr="00102B61">
              <w:rPr>
                <w:rFonts w:ascii="Calibri" w:eastAsia="Times New Roman" w:hAnsi="Calibri" w:cs="Times New Roman"/>
                <w:b/>
                <w:bCs/>
                <w:sz w:val="20"/>
                <w:szCs w:val="22"/>
                <w:lang w:eastAsia="en-GB"/>
              </w:rPr>
              <w:t>93</w:t>
            </w:r>
          </w:p>
        </w:tc>
        <w:tc>
          <w:tcPr>
            <w:tcW w:w="737" w:type="pct"/>
            <w:shd w:val="clear" w:color="DCE6F1" w:fill="DCE6F1"/>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b/>
                <w:bCs/>
                <w:sz w:val="20"/>
                <w:szCs w:val="22"/>
                <w:lang w:eastAsia="en-GB"/>
              </w:rPr>
            </w:pPr>
            <w:r w:rsidRPr="00102B61">
              <w:rPr>
                <w:rFonts w:ascii="Calibri" w:eastAsia="Times New Roman" w:hAnsi="Calibri" w:cs="Times New Roman"/>
                <w:b/>
                <w:bCs/>
                <w:sz w:val="20"/>
                <w:szCs w:val="22"/>
                <w:lang w:eastAsia="en-GB"/>
              </w:rPr>
              <w:t>0</w:t>
            </w:r>
          </w:p>
        </w:tc>
        <w:tc>
          <w:tcPr>
            <w:tcW w:w="737" w:type="pct"/>
            <w:shd w:val="clear" w:color="DCE6F1" w:fill="DCE6F1"/>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b/>
                <w:bCs/>
                <w:sz w:val="20"/>
                <w:szCs w:val="22"/>
                <w:lang w:eastAsia="en-GB"/>
              </w:rPr>
            </w:pPr>
            <w:r w:rsidRPr="00102B61">
              <w:rPr>
                <w:rFonts w:ascii="Calibri" w:eastAsia="Times New Roman" w:hAnsi="Calibri" w:cs="Times New Roman"/>
                <w:b/>
                <w:bCs/>
                <w:sz w:val="20"/>
                <w:szCs w:val="22"/>
                <w:lang w:eastAsia="en-GB"/>
              </w:rPr>
              <w:t>104</w:t>
            </w:r>
          </w:p>
        </w:tc>
        <w:tc>
          <w:tcPr>
            <w:tcW w:w="737" w:type="pct"/>
            <w:shd w:val="clear" w:color="DCE6F1" w:fill="DCE6F1"/>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b/>
                <w:bCs/>
                <w:sz w:val="20"/>
                <w:szCs w:val="22"/>
                <w:lang w:eastAsia="en-GB"/>
              </w:rPr>
            </w:pPr>
            <w:r w:rsidRPr="00102B61">
              <w:rPr>
                <w:rFonts w:ascii="Calibri" w:eastAsia="Times New Roman" w:hAnsi="Calibri" w:cs="Times New Roman"/>
                <w:b/>
                <w:bCs/>
                <w:sz w:val="20"/>
                <w:szCs w:val="22"/>
                <w:lang w:eastAsia="en-GB"/>
              </w:rPr>
              <w:t>197</w:t>
            </w:r>
          </w:p>
        </w:tc>
      </w:tr>
      <w:tr w:rsidR="00040D04" w:rsidTr="006912C6">
        <w:trPr>
          <w:trHeight w:val="170"/>
        </w:trPr>
        <w:tc>
          <w:tcPr>
            <w:tcW w:w="2053" w:type="pct"/>
            <w:shd w:val="clear" w:color="auto" w:fill="auto"/>
            <w:noWrap/>
            <w:vAlign w:val="bottom"/>
            <w:hideMark/>
          </w:tcPr>
          <w:p w:rsidR="00102B61" w:rsidRPr="00102B61" w:rsidRDefault="002E29C1" w:rsidP="00102B61">
            <w:pPr>
              <w:autoSpaceDE/>
              <w:autoSpaceDN/>
              <w:adjustRightInd/>
              <w:spacing w:after="0"/>
              <w:ind w:firstLineChars="100" w:firstLine="200"/>
              <w:jc w:val="lef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Acute</w:t>
            </w:r>
          </w:p>
        </w:tc>
        <w:tc>
          <w:tcPr>
            <w:tcW w:w="736" w:type="pct"/>
            <w:shd w:val="clear" w:color="auto" w:fill="auto"/>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0</w:t>
            </w:r>
          </w:p>
        </w:tc>
        <w:tc>
          <w:tcPr>
            <w:tcW w:w="737" w:type="pct"/>
            <w:shd w:val="clear" w:color="auto" w:fill="auto"/>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0</w:t>
            </w:r>
          </w:p>
        </w:tc>
        <w:tc>
          <w:tcPr>
            <w:tcW w:w="737" w:type="pct"/>
            <w:shd w:val="clear" w:color="auto" w:fill="auto"/>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0</w:t>
            </w:r>
          </w:p>
        </w:tc>
        <w:tc>
          <w:tcPr>
            <w:tcW w:w="737" w:type="pct"/>
            <w:shd w:val="clear" w:color="auto" w:fill="auto"/>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0</w:t>
            </w:r>
          </w:p>
        </w:tc>
      </w:tr>
      <w:tr w:rsidR="00040D04" w:rsidTr="006912C6">
        <w:trPr>
          <w:trHeight w:val="170"/>
        </w:trPr>
        <w:tc>
          <w:tcPr>
            <w:tcW w:w="2053" w:type="pct"/>
            <w:shd w:val="clear" w:color="auto" w:fill="auto"/>
            <w:noWrap/>
            <w:vAlign w:val="bottom"/>
            <w:hideMark/>
          </w:tcPr>
          <w:p w:rsidR="00102B61" w:rsidRPr="00102B61" w:rsidRDefault="002E29C1" w:rsidP="00102B61">
            <w:pPr>
              <w:autoSpaceDE/>
              <w:autoSpaceDN/>
              <w:adjustRightInd/>
              <w:spacing w:after="0"/>
              <w:ind w:firstLineChars="100" w:firstLine="200"/>
              <w:jc w:val="lef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Non-Acute</w:t>
            </w:r>
          </w:p>
        </w:tc>
        <w:tc>
          <w:tcPr>
            <w:tcW w:w="736" w:type="pct"/>
            <w:shd w:val="clear" w:color="auto" w:fill="auto"/>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93</w:t>
            </w:r>
          </w:p>
        </w:tc>
        <w:tc>
          <w:tcPr>
            <w:tcW w:w="737" w:type="pct"/>
            <w:shd w:val="clear" w:color="auto" w:fill="auto"/>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0</w:t>
            </w:r>
          </w:p>
        </w:tc>
        <w:tc>
          <w:tcPr>
            <w:tcW w:w="737" w:type="pct"/>
            <w:shd w:val="clear" w:color="auto" w:fill="auto"/>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104</w:t>
            </w:r>
          </w:p>
        </w:tc>
        <w:tc>
          <w:tcPr>
            <w:tcW w:w="737" w:type="pct"/>
            <w:shd w:val="clear" w:color="auto" w:fill="auto"/>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197</w:t>
            </w:r>
          </w:p>
        </w:tc>
      </w:tr>
      <w:tr w:rsidR="00040D04" w:rsidTr="006912C6">
        <w:trPr>
          <w:trHeight w:val="170"/>
        </w:trPr>
        <w:tc>
          <w:tcPr>
            <w:tcW w:w="2053" w:type="pct"/>
            <w:shd w:val="clear" w:color="DCE6F1" w:fill="DCE6F1"/>
            <w:noWrap/>
            <w:vAlign w:val="bottom"/>
            <w:hideMark/>
          </w:tcPr>
          <w:p w:rsidR="00102B61" w:rsidRPr="00102B61" w:rsidRDefault="002E29C1" w:rsidP="00102B61">
            <w:pPr>
              <w:autoSpaceDE/>
              <w:autoSpaceDN/>
              <w:adjustRightInd/>
              <w:spacing w:after="0"/>
              <w:jc w:val="left"/>
              <w:rPr>
                <w:rFonts w:ascii="Calibri" w:eastAsia="Times New Roman" w:hAnsi="Calibri" w:cs="Times New Roman"/>
                <w:b/>
                <w:bCs/>
                <w:sz w:val="20"/>
                <w:szCs w:val="22"/>
                <w:lang w:eastAsia="en-GB"/>
              </w:rPr>
            </w:pPr>
            <w:r w:rsidRPr="00102B61">
              <w:rPr>
                <w:rFonts w:ascii="Calibri" w:eastAsia="Times New Roman" w:hAnsi="Calibri" w:cs="Times New Roman"/>
                <w:b/>
                <w:bCs/>
                <w:sz w:val="20"/>
                <w:szCs w:val="22"/>
                <w:lang w:eastAsia="en-GB"/>
              </w:rPr>
              <w:t>LANCASHIRE TEACHING HOSPITALS NHS FOUNDATION TRUST</w:t>
            </w:r>
          </w:p>
        </w:tc>
        <w:tc>
          <w:tcPr>
            <w:tcW w:w="736" w:type="pct"/>
            <w:shd w:val="clear" w:color="DCE6F1" w:fill="DCE6F1"/>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b/>
                <w:bCs/>
                <w:sz w:val="20"/>
                <w:szCs w:val="22"/>
                <w:lang w:eastAsia="en-GB"/>
              </w:rPr>
            </w:pPr>
            <w:r w:rsidRPr="00102B61">
              <w:rPr>
                <w:rFonts w:ascii="Calibri" w:eastAsia="Times New Roman" w:hAnsi="Calibri" w:cs="Times New Roman"/>
                <w:b/>
                <w:bCs/>
                <w:sz w:val="20"/>
                <w:szCs w:val="22"/>
                <w:lang w:eastAsia="en-GB"/>
              </w:rPr>
              <w:t>505</w:t>
            </w:r>
          </w:p>
        </w:tc>
        <w:tc>
          <w:tcPr>
            <w:tcW w:w="737" w:type="pct"/>
            <w:shd w:val="clear" w:color="DCE6F1" w:fill="DCE6F1"/>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b/>
                <w:bCs/>
                <w:sz w:val="20"/>
                <w:szCs w:val="22"/>
                <w:lang w:eastAsia="en-GB"/>
              </w:rPr>
            </w:pPr>
            <w:r w:rsidRPr="00102B61">
              <w:rPr>
                <w:rFonts w:ascii="Calibri" w:eastAsia="Times New Roman" w:hAnsi="Calibri" w:cs="Times New Roman"/>
                <w:b/>
                <w:bCs/>
                <w:sz w:val="20"/>
                <w:szCs w:val="22"/>
                <w:lang w:eastAsia="en-GB"/>
              </w:rPr>
              <w:t>677</w:t>
            </w:r>
          </w:p>
        </w:tc>
        <w:tc>
          <w:tcPr>
            <w:tcW w:w="737" w:type="pct"/>
            <w:shd w:val="clear" w:color="DCE6F1" w:fill="DCE6F1"/>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b/>
                <w:bCs/>
                <w:sz w:val="20"/>
                <w:szCs w:val="22"/>
                <w:lang w:eastAsia="en-GB"/>
              </w:rPr>
            </w:pPr>
            <w:r w:rsidRPr="00102B61">
              <w:rPr>
                <w:rFonts w:ascii="Calibri" w:eastAsia="Times New Roman" w:hAnsi="Calibri" w:cs="Times New Roman"/>
                <w:b/>
                <w:bCs/>
                <w:sz w:val="20"/>
                <w:szCs w:val="22"/>
                <w:lang w:eastAsia="en-GB"/>
              </w:rPr>
              <w:t>29</w:t>
            </w:r>
          </w:p>
        </w:tc>
        <w:tc>
          <w:tcPr>
            <w:tcW w:w="737" w:type="pct"/>
            <w:shd w:val="clear" w:color="DCE6F1" w:fill="DCE6F1"/>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b/>
                <w:bCs/>
                <w:sz w:val="20"/>
                <w:szCs w:val="22"/>
                <w:lang w:eastAsia="en-GB"/>
              </w:rPr>
            </w:pPr>
            <w:r w:rsidRPr="00102B61">
              <w:rPr>
                <w:rFonts w:ascii="Calibri" w:eastAsia="Times New Roman" w:hAnsi="Calibri" w:cs="Times New Roman"/>
                <w:b/>
                <w:bCs/>
                <w:sz w:val="20"/>
                <w:szCs w:val="22"/>
                <w:lang w:eastAsia="en-GB"/>
              </w:rPr>
              <w:t>1211</w:t>
            </w:r>
          </w:p>
        </w:tc>
      </w:tr>
      <w:tr w:rsidR="00040D04" w:rsidTr="006912C6">
        <w:trPr>
          <w:trHeight w:val="170"/>
        </w:trPr>
        <w:tc>
          <w:tcPr>
            <w:tcW w:w="2053" w:type="pct"/>
            <w:shd w:val="clear" w:color="auto" w:fill="auto"/>
            <w:noWrap/>
            <w:vAlign w:val="bottom"/>
            <w:hideMark/>
          </w:tcPr>
          <w:p w:rsidR="00102B61" w:rsidRPr="00102B61" w:rsidRDefault="002E29C1" w:rsidP="00102B61">
            <w:pPr>
              <w:autoSpaceDE/>
              <w:autoSpaceDN/>
              <w:adjustRightInd/>
              <w:spacing w:after="0"/>
              <w:ind w:firstLineChars="100" w:firstLine="200"/>
              <w:jc w:val="lef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Acute</w:t>
            </w:r>
          </w:p>
        </w:tc>
        <w:tc>
          <w:tcPr>
            <w:tcW w:w="736" w:type="pct"/>
            <w:shd w:val="clear" w:color="auto" w:fill="auto"/>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505</w:t>
            </w:r>
          </w:p>
        </w:tc>
        <w:tc>
          <w:tcPr>
            <w:tcW w:w="737" w:type="pct"/>
            <w:shd w:val="clear" w:color="auto" w:fill="auto"/>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677</w:t>
            </w:r>
          </w:p>
        </w:tc>
        <w:tc>
          <w:tcPr>
            <w:tcW w:w="737" w:type="pct"/>
            <w:shd w:val="clear" w:color="auto" w:fill="auto"/>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29</w:t>
            </w:r>
          </w:p>
        </w:tc>
        <w:tc>
          <w:tcPr>
            <w:tcW w:w="737" w:type="pct"/>
            <w:shd w:val="clear" w:color="auto" w:fill="auto"/>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1211</w:t>
            </w:r>
          </w:p>
        </w:tc>
      </w:tr>
      <w:tr w:rsidR="00040D04" w:rsidTr="006912C6">
        <w:trPr>
          <w:trHeight w:val="170"/>
        </w:trPr>
        <w:tc>
          <w:tcPr>
            <w:tcW w:w="2053" w:type="pct"/>
            <w:shd w:val="clear" w:color="auto" w:fill="auto"/>
            <w:noWrap/>
            <w:vAlign w:val="bottom"/>
            <w:hideMark/>
          </w:tcPr>
          <w:p w:rsidR="00102B61" w:rsidRPr="00102B61" w:rsidRDefault="002E29C1" w:rsidP="00102B61">
            <w:pPr>
              <w:autoSpaceDE/>
              <w:autoSpaceDN/>
              <w:adjustRightInd/>
              <w:spacing w:after="0"/>
              <w:ind w:firstLineChars="100" w:firstLine="200"/>
              <w:jc w:val="lef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Non-Acute</w:t>
            </w:r>
          </w:p>
        </w:tc>
        <w:tc>
          <w:tcPr>
            <w:tcW w:w="736" w:type="pct"/>
            <w:shd w:val="clear" w:color="auto" w:fill="auto"/>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0</w:t>
            </w:r>
          </w:p>
        </w:tc>
        <w:tc>
          <w:tcPr>
            <w:tcW w:w="737" w:type="pct"/>
            <w:shd w:val="clear" w:color="auto" w:fill="auto"/>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0</w:t>
            </w:r>
          </w:p>
        </w:tc>
        <w:tc>
          <w:tcPr>
            <w:tcW w:w="737" w:type="pct"/>
            <w:shd w:val="clear" w:color="auto" w:fill="auto"/>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0</w:t>
            </w:r>
          </w:p>
        </w:tc>
        <w:tc>
          <w:tcPr>
            <w:tcW w:w="737" w:type="pct"/>
            <w:shd w:val="clear" w:color="auto" w:fill="auto"/>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0</w:t>
            </w:r>
          </w:p>
        </w:tc>
      </w:tr>
      <w:tr w:rsidR="00040D04" w:rsidTr="006912C6">
        <w:trPr>
          <w:trHeight w:val="170"/>
        </w:trPr>
        <w:tc>
          <w:tcPr>
            <w:tcW w:w="2053" w:type="pct"/>
            <w:shd w:val="clear" w:color="DCE6F1" w:fill="DCE6F1"/>
            <w:noWrap/>
            <w:vAlign w:val="bottom"/>
            <w:hideMark/>
          </w:tcPr>
          <w:p w:rsidR="00102B61" w:rsidRPr="00102B61" w:rsidRDefault="002E29C1" w:rsidP="00102B61">
            <w:pPr>
              <w:autoSpaceDE/>
              <w:autoSpaceDN/>
              <w:adjustRightInd/>
              <w:spacing w:after="0"/>
              <w:jc w:val="left"/>
              <w:rPr>
                <w:rFonts w:ascii="Calibri" w:eastAsia="Times New Roman" w:hAnsi="Calibri" w:cs="Times New Roman"/>
                <w:b/>
                <w:bCs/>
                <w:sz w:val="20"/>
                <w:szCs w:val="22"/>
                <w:lang w:eastAsia="en-GB"/>
              </w:rPr>
            </w:pPr>
            <w:r w:rsidRPr="00102B61">
              <w:rPr>
                <w:rFonts w:ascii="Calibri" w:eastAsia="Times New Roman" w:hAnsi="Calibri" w:cs="Times New Roman"/>
                <w:b/>
                <w:bCs/>
                <w:sz w:val="20"/>
                <w:szCs w:val="22"/>
                <w:lang w:eastAsia="en-GB"/>
              </w:rPr>
              <w:t>SOUTHPORT AND ORMSKIRK HOSPITAL NHS TRUST</w:t>
            </w:r>
          </w:p>
        </w:tc>
        <w:tc>
          <w:tcPr>
            <w:tcW w:w="736" w:type="pct"/>
            <w:shd w:val="clear" w:color="DCE6F1" w:fill="DCE6F1"/>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b/>
                <w:bCs/>
                <w:sz w:val="20"/>
                <w:szCs w:val="22"/>
                <w:lang w:eastAsia="en-GB"/>
              </w:rPr>
            </w:pPr>
            <w:r w:rsidRPr="00102B61">
              <w:rPr>
                <w:rFonts w:ascii="Calibri" w:eastAsia="Times New Roman" w:hAnsi="Calibri" w:cs="Times New Roman"/>
                <w:b/>
                <w:bCs/>
                <w:sz w:val="20"/>
                <w:szCs w:val="22"/>
                <w:lang w:eastAsia="en-GB"/>
              </w:rPr>
              <w:t>49</w:t>
            </w:r>
          </w:p>
        </w:tc>
        <w:tc>
          <w:tcPr>
            <w:tcW w:w="737" w:type="pct"/>
            <w:shd w:val="clear" w:color="DCE6F1" w:fill="DCE6F1"/>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b/>
                <w:bCs/>
                <w:sz w:val="20"/>
                <w:szCs w:val="22"/>
                <w:lang w:eastAsia="en-GB"/>
              </w:rPr>
            </w:pPr>
            <w:r w:rsidRPr="00102B61">
              <w:rPr>
                <w:rFonts w:ascii="Calibri" w:eastAsia="Times New Roman" w:hAnsi="Calibri" w:cs="Times New Roman"/>
                <w:b/>
                <w:bCs/>
                <w:sz w:val="20"/>
                <w:szCs w:val="22"/>
                <w:lang w:eastAsia="en-GB"/>
              </w:rPr>
              <w:t>7</w:t>
            </w:r>
          </w:p>
        </w:tc>
        <w:tc>
          <w:tcPr>
            <w:tcW w:w="737" w:type="pct"/>
            <w:shd w:val="clear" w:color="DCE6F1" w:fill="DCE6F1"/>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b/>
                <w:bCs/>
                <w:sz w:val="20"/>
                <w:szCs w:val="22"/>
                <w:lang w:eastAsia="en-GB"/>
              </w:rPr>
            </w:pPr>
            <w:r w:rsidRPr="00102B61">
              <w:rPr>
                <w:rFonts w:ascii="Calibri" w:eastAsia="Times New Roman" w:hAnsi="Calibri" w:cs="Times New Roman"/>
                <w:b/>
                <w:bCs/>
                <w:sz w:val="20"/>
                <w:szCs w:val="22"/>
                <w:lang w:eastAsia="en-GB"/>
              </w:rPr>
              <w:t>0</w:t>
            </w:r>
          </w:p>
        </w:tc>
        <w:tc>
          <w:tcPr>
            <w:tcW w:w="737" w:type="pct"/>
            <w:shd w:val="clear" w:color="DCE6F1" w:fill="DCE6F1"/>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b/>
                <w:bCs/>
                <w:sz w:val="20"/>
                <w:szCs w:val="22"/>
                <w:lang w:eastAsia="en-GB"/>
              </w:rPr>
            </w:pPr>
            <w:r w:rsidRPr="00102B61">
              <w:rPr>
                <w:rFonts w:ascii="Calibri" w:eastAsia="Times New Roman" w:hAnsi="Calibri" w:cs="Times New Roman"/>
                <w:b/>
                <w:bCs/>
                <w:sz w:val="20"/>
                <w:szCs w:val="22"/>
                <w:lang w:eastAsia="en-GB"/>
              </w:rPr>
              <w:t>56</w:t>
            </w:r>
          </w:p>
        </w:tc>
      </w:tr>
      <w:tr w:rsidR="00040D04" w:rsidTr="006912C6">
        <w:trPr>
          <w:trHeight w:val="170"/>
        </w:trPr>
        <w:tc>
          <w:tcPr>
            <w:tcW w:w="2053" w:type="pct"/>
            <w:shd w:val="clear" w:color="auto" w:fill="auto"/>
            <w:noWrap/>
            <w:vAlign w:val="bottom"/>
            <w:hideMark/>
          </w:tcPr>
          <w:p w:rsidR="00102B61" w:rsidRPr="00102B61" w:rsidRDefault="002E29C1" w:rsidP="00102B61">
            <w:pPr>
              <w:autoSpaceDE/>
              <w:autoSpaceDN/>
              <w:adjustRightInd/>
              <w:spacing w:after="0"/>
              <w:ind w:firstLineChars="100" w:firstLine="200"/>
              <w:jc w:val="lef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Acute</w:t>
            </w:r>
          </w:p>
        </w:tc>
        <w:tc>
          <w:tcPr>
            <w:tcW w:w="736" w:type="pct"/>
            <w:shd w:val="clear" w:color="auto" w:fill="auto"/>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49</w:t>
            </w:r>
          </w:p>
        </w:tc>
        <w:tc>
          <w:tcPr>
            <w:tcW w:w="737" w:type="pct"/>
            <w:shd w:val="clear" w:color="auto" w:fill="auto"/>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7</w:t>
            </w:r>
          </w:p>
        </w:tc>
        <w:tc>
          <w:tcPr>
            <w:tcW w:w="737" w:type="pct"/>
            <w:shd w:val="clear" w:color="auto" w:fill="auto"/>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0</w:t>
            </w:r>
          </w:p>
        </w:tc>
        <w:tc>
          <w:tcPr>
            <w:tcW w:w="737" w:type="pct"/>
            <w:shd w:val="clear" w:color="auto" w:fill="auto"/>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56</w:t>
            </w:r>
          </w:p>
        </w:tc>
      </w:tr>
      <w:tr w:rsidR="00040D04" w:rsidTr="006912C6">
        <w:trPr>
          <w:trHeight w:val="170"/>
        </w:trPr>
        <w:tc>
          <w:tcPr>
            <w:tcW w:w="2053" w:type="pct"/>
            <w:shd w:val="clear" w:color="auto" w:fill="auto"/>
            <w:noWrap/>
            <w:vAlign w:val="bottom"/>
            <w:hideMark/>
          </w:tcPr>
          <w:p w:rsidR="00102B61" w:rsidRPr="00102B61" w:rsidRDefault="002E29C1" w:rsidP="00102B61">
            <w:pPr>
              <w:autoSpaceDE/>
              <w:autoSpaceDN/>
              <w:adjustRightInd/>
              <w:spacing w:after="0"/>
              <w:ind w:firstLineChars="100" w:firstLine="200"/>
              <w:jc w:val="lef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Non-Acute</w:t>
            </w:r>
          </w:p>
        </w:tc>
        <w:tc>
          <w:tcPr>
            <w:tcW w:w="736" w:type="pct"/>
            <w:shd w:val="clear" w:color="auto" w:fill="auto"/>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0</w:t>
            </w:r>
          </w:p>
        </w:tc>
        <w:tc>
          <w:tcPr>
            <w:tcW w:w="737" w:type="pct"/>
            <w:shd w:val="clear" w:color="auto" w:fill="auto"/>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0</w:t>
            </w:r>
          </w:p>
        </w:tc>
        <w:tc>
          <w:tcPr>
            <w:tcW w:w="737" w:type="pct"/>
            <w:shd w:val="clear" w:color="auto" w:fill="auto"/>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0</w:t>
            </w:r>
          </w:p>
        </w:tc>
        <w:tc>
          <w:tcPr>
            <w:tcW w:w="737" w:type="pct"/>
            <w:shd w:val="clear" w:color="auto" w:fill="auto"/>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0</w:t>
            </w:r>
          </w:p>
        </w:tc>
      </w:tr>
      <w:tr w:rsidR="00040D04" w:rsidTr="006912C6">
        <w:trPr>
          <w:trHeight w:val="170"/>
        </w:trPr>
        <w:tc>
          <w:tcPr>
            <w:tcW w:w="2053" w:type="pct"/>
            <w:shd w:val="clear" w:color="DCE6F1" w:fill="DCE6F1"/>
            <w:noWrap/>
            <w:vAlign w:val="bottom"/>
            <w:hideMark/>
          </w:tcPr>
          <w:p w:rsidR="00102B61" w:rsidRPr="00102B61" w:rsidRDefault="002E29C1" w:rsidP="00102B61">
            <w:pPr>
              <w:autoSpaceDE/>
              <w:autoSpaceDN/>
              <w:adjustRightInd/>
              <w:spacing w:after="0"/>
              <w:jc w:val="left"/>
              <w:rPr>
                <w:rFonts w:ascii="Calibri" w:eastAsia="Times New Roman" w:hAnsi="Calibri" w:cs="Times New Roman"/>
                <w:b/>
                <w:bCs/>
                <w:sz w:val="20"/>
                <w:szCs w:val="22"/>
                <w:lang w:eastAsia="en-GB"/>
              </w:rPr>
            </w:pPr>
            <w:r w:rsidRPr="00102B61">
              <w:rPr>
                <w:rFonts w:ascii="Calibri" w:eastAsia="Times New Roman" w:hAnsi="Calibri" w:cs="Times New Roman"/>
                <w:b/>
                <w:bCs/>
                <w:sz w:val="20"/>
                <w:szCs w:val="22"/>
                <w:lang w:eastAsia="en-GB"/>
              </w:rPr>
              <w:t>UNIVERSITY HOSPITALS OF MORECAMBE BAY NHS FOUNDATION TRUST</w:t>
            </w:r>
          </w:p>
        </w:tc>
        <w:tc>
          <w:tcPr>
            <w:tcW w:w="736" w:type="pct"/>
            <w:shd w:val="clear" w:color="DCE6F1" w:fill="DCE6F1"/>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b/>
                <w:bCs/>
                <w:sz w:val="20"/>
                <w:szCs w:val="22"/>
                <w:lang w:eastAsia="en-GB"/>
              </w:rPr>
            </w:pPr>
            <w:r w:rsidRPr="00102B61">
              <w:rPr>
                <w:rFonts w:ascii="Calibri" w:eastAsia="Times New Roman" w:hAnsi="Calibri" w:cs="Times New Roman"/>
                <w:b/>
                <w:bCs/>
                <w:sz w:val="20"/>
                <w:szCs w:val="22"/>
                <w:lang w:eastAsia="en-GB"/>
              </w:rPr>
              <w:t>220</w:t>
            </w:r>
          </w:p>
        </w:tc>
        <w:tc>
          <w:tcPr>
            <w:tcW w:w="737" w:type="pct"/>
            <w:shd w:val="clear" w:color="DCE6F1" w:fill="DCE6F1"/>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b/>
                <w:bCs/>
                <w:sz w:val="20"/>
                <w:szCs w:val="22"/>
                <w:lang w:eastAsia="en-GB"/>
              </w:rPr>
            </w:pPr>
            <w:r w:rsidRPr="00102B61">
              <w:rPr>
                <w:rFonts w:ascii="Calibri" w:eastAsia="Times New Roman" w:hAnsi="Calibri" w:cs="Times New Roman"/>
                <w:b/>
                <w:bCs/>
                <w:sz w:val="20"/>
                <w:szCs w:val="22"/>
                <w:lang w:eastAsia="en-GB"/>
              </w:rPr>
              <w:t>191</w:t>
            </w:r>
          </w:p>
        </w:tc>
        <w:tc>
          <w:tcPr>
            <w:tcW w:w="737" w:type="pct"/>
            <w:shd w:val="clear" w:color="DCE6F1" w:fill="DCE6F1"/>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b/>
                <w:bCs/>
                <w:sz w:val="20"/>
                <w:szCs w:val="22"/>
                <w:lang w:eastAsia="en-GB"/>
              </w:rPr>
            </w:pPr>
            <w:r w:rsidRPr="00102B61">
              <w:rPr>
                <w:rFonts w:ascii="Calibri" w:eastAsia="Times New Roman" w:hAnsi="Calibri" w:cs="Times New Roman"/>
                <w:b/>
                <w:bCs/>
                <w:sz w:val="20"/>
                <w:szCs w:val="22"/>
                <w:lang w:eastAsia="en-GB"/>
              </w:rPr>
              <w:t>0</w:t>
            </w:r>
          </w:p>
        </w:tc>
        <w:tc>
          <w:tcPr>
            <w:tcW w:w="737" w:type="pct"/>
            <w:shd w:val="clear" w:color="DCE6F1" w:fill="DCE6F1"/>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b/>
                <w:bCs/>
                <w:sz w:val="20"/>
                <w:szCs w:val="22"/>
                <w:lang w:eastAsia="en-GB"/>
              </w:rPr>
            </w:pPr>
            <w:r w:rsidRPr="00102B61">
              <w:rPr>
                <w:rFonts w:ascii="Calibri" w:eastAsia="Times New Roman" w:hAnsi="Calibri" w:cs="Times New Roman"/>
                <w:b/>
                <w:bCs/>
                <w:sz w:val="20"/>
                <w:szCs w:val="22"/>
                <w:lang w:eastAsia="en-GB"/>
              </w:rPr>
              <w:t>411</w:t>
            </w:r>
          </w:p>
        </w:tc>
      </w:tr>
      <w:tr w:rsidR="00040D04" w:rsidTr="006912C6">
        <w:trPr>
          <w:trHeight w:val="170"/>
        </w:trPr>
        <w:tc>
          <w:tcPr>
            <w:tcW w:w="2053" w:type="pct"/>
            <w:shd w:val="clear" w:color="auto" w:fill="auto"/>
            <w:noWrap/>
            <w:vAlign w:val="bottom"/>
            <w:hideMark/>
          </w:tcPr>
          <w:p w:rsidR="00102B61" w:rsidRPr="00102B61" w:rsidRDefault="002E29C1" w:rsidP="00102B61">
            <w:pPr>
              <w:autoSpaceDE/>
              <w:autoSpaceDN/>
              <w:adjustRightInd/>
              <w:spacing w:after="0"/>
              <w:ind w:firstLineChars="100" w:firstLine="200"/>
              <w:jc w:val="lef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Acute</w:t>
            </w:r>
          </w:p>
        </w:tc>
        <w:tc>
          <w:tcPr>
            <w:tcW w:w="736" w:type="pct"/>
            <w:shd w:val="clear" w:color="auto" w:fill="auto"/>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220</w:t>
            </w:r>
          </w:p>
        </w:tc>
        <w:tc>
          <w:tcPr>
            <w:tcW w:w="737" w:type="pct"/>
            <w:shd w:val="clear" w:color="auto" w:fill="auto"/>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191</w:t>
            </w:r>
          </w:p>
        </w:tc>
        <w:tc>
          <w:tcPr>
            <w:tcW w:w="737" w:type="pct"/>
            <w:shd w:val="clear" w:color="auto" w:fill="auto"/>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0</w:t>
            </w:r>
          </w:p>
        </w:tc>
        <w:tc>
          <w:tcPr>
            <w:tcW w:w="737" w:type="pct"/>
            <w:shd w:val="clear" w:color="auto" w:fill="auto"/>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411</w:t>
            </w:r>
          </w:p>
        </w:tc>
      </w:tr>
      <w:tr w:rsidR="00040D04" w:rsidTr="006912C6">
        <w:trPr>
          <w:trHeight w:val="170"/>
        </w:trPr>
        <w:tc>
          <w:tcPr>
            <w:tcW w:w="2053" w:type="pct"/>
            <w:shd w:val="clear" w:color="auto" w:fill="auto"/>
            <w:noWrap/>
            <w:vAlign w:val="bottom"/>
            <w:hideMark/>
          </w:tcPr>
          <w:p w:rsidR="00102B61" w:rsidRPr="00102B61" w:rsidRDefault="002E29C1" w:rsidP="00102B61">
            <w:pPr>
              <w:autoSpaceDE/>
              <w:autoSpaceDN/>
              <w:adjustRightInd/>
              <w:spacing w:after="0"/>
              <w:ind w:firstLineChars="100" w:firstLine="200"/>
              <w:jc w:val="lef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Non-Acute</w:t>
            </w:r>
          </w:p>
        </w:tc>
        <w:tc>
          <w:tcPr>
            <w:tcW w:w="736" w:type="pct"/>
            <w:shd w:val="clear" w:color="auto" w:fill="auto"/>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0</w:t>
            </w:r>
          </w:p>
        </w:tc>
        <w:tc>
          <w:tcPr>
            <w:tcW w:w="737" w:type="pct"/>
            <w:shd w:val="clear" w:color="auto" w:fill="auto"/>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0</w:t>
            </w:r>
          </w:p>
        </w:tc>
        <w:tc>
          <w:tcPr>
            <w:tcW w:w="737" w:type="pct"/>
            <w:shd w:val="clear" w:color="auto" w:fill="auto"/>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0</w:t>
            </w:r>
          </w:p>
        </w:tc>
        <w:tc>
          <w:tcPr>
            <w:tcW w:w="737" w:type="pct"/>
            <w:shd w:val="clear" w:color="auto" w:fill="auto"/>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sz w:val="20"/>
                <w:szCs w:val="22"/>
                <w:lang w:eastAsia="en-GB"/>
              </w:rPr>
            </w:pPr>
            <w:r w:rsidRPr="00102B61">
              <w:rPr>
                <w:rFonts w:ascii="Calibri" w:eastAsia="Times New Roman" w:hAnsi="Calibri" w:cs="Times New Roman"/>
                <w:sz w:val="20"/>
                <w:szCs w:val="22"/>
                <w:lang w:eastAsia="en-GB"/>
              </w:rPr>
              <w:t>0</w:t>
            </w:r>
          </w:p>
        </w:tc>
      </w:tr>
      <w:tr w:rsidR="00040D04" w:rsidTr="006912C6">
        <w:trPr>
          <w:trHeight w:val="170"/>
        </w:trPr>
        <w:tc>
          <w:tcPr>
            <w:tcW w:w="2053" w:type="pct"/>
            <w:shd w:val="clear" w:color="auto" w:fill="auto"/>
            <w:noWrap/>
            <w:vAlign w:val="bottom"/>
            <w:hideMark/>
          </w:tcPr>
          <w:p w:rsidR="00102B61" w:rsidRPr="00102B61" w:rsidRDefault="002E29C1" w:rsidP="00102B61">
            <w:pPr>
              <w:autoSpaceDE/>
              <w:autoSpaceDN/>
              <w:adjustRightInd/>
              <w:spacing w:after="0"/>
              <w:jc w:val="left"/>
              <w:rPr>
                <w:rFonts w:ascii="Calibri" w:eastAsia="Times New Roman" w:hAnsi="Calibri" w:cs="Times New Roman"/>
                <w:b/>
                <w:bCs/>
                <w:sz w:val="20"/>
                <w:szCs w:val="22"/>
                <w:lang w:eastAsia="en-GB"/>
              </w:rPr>
            </w:pPr>
            <w:r w:rsidRPr="00102B61">
              <w:rPr>
                <w:rFonts w:ascii="Calibri" w:eastAsia="Times New Roman" w:hAnsi="Calibri" w:cs="Times New Roman"/>
                <w:b/>
                <w:bCs/>
                <w:sz w:val="20"/>
                <w:szCs w:val="22"/>
                <w:lang w:eastAsia="en-GB"/>
              </w:rPr>
              <w:t>Grand Total</w:t>
            </w:r>
          </w:p>
        </w:tc>
        <w:tc>
          <w:tcPr>
            <w:tcW w:w="736" w:type="pct"/>
            <w:shd w:val="clear" w:color="auto" w:fill="auto"/>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b/>
                <w:bCs/>
                <w:sz w:val="20"/>
                <w:szCs w:val="22"/>
                <w:lang w:eastAsia="en-GB"/>
              </w:rPr>
            </w:pPr>
            <w:r w:rsidRPr="00102B61">
              <w:rPr>
                <w:rFonts w:ascii="Calibri" w:eastAsia="Times New Roman" w:hAnsi="Calibri" w:cs="Times New Roman"/>
                <w:b/>
                <w:bCs/>
                <w:sz w:val="20"/>
                <w:szCs w:val="22"/>
                <w:lang w:eastAsia="en-GB"/>
              </w:rPr>
              <w:t>1464</w:t>
            </w:r>
          </w:p>
        </w:tc>
        <w:tc>
          <w:tcPr>
            <w:tcW w:w="737" w:type="pct"/>
            <w:shd w:val="clear" w:color="auto" w:fill="auto"/>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b/>
                <w:bCs/>
                <w:sz w:val="20"/>
                <w:szCs w:val="22"/>
                <w:lang w:eastAsia="en-GB"/>
              </w:rPr>
            </w:pPr>
            <w:r w:rsidRPr="00102B61">
              <w:rPr>
                <w:rFonts w:ascii="Calibri" w:eastAsia="Times New Roman" w:hAnsi="Calibri" w:cs="Times New Roman"/>
                <w:b/>
                <w:bCs/>
                <w:sz w:val="20"/>
                <w:szCs w:val="22"/>
                <w:lang w:eastAsia="en-GB"/>
              </w:rPr>
              <w:t>1180</w:t>
            </w:r>
          </w:p>
        </w:tc>
        <w:tc>
          <w:tcPr>
            <w:tcW w:w="737" w:type="pct"/>
            <w:shd w:val="clear" w:color="auto" w:fill="auto"/>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b/>
                <w:bCs/>
                <w:sz w:val="20"/>
                <w:szCs w:val="22"/>
                <w:lang w:eastAsia="en-GB"/>
              </w:rPr>
            </w:pPr>
            <w:r w:rsidRPr="00102B61">
              <w:rPr>
                <w:rFonts w:ascii="Calibri" w:eastAsia="Times New Roman" w:hAnsi="Calibri" w:cs="Times New Roman"/>
                <w:b/>
                <w:bCs/>
                <w:sz w:val="20"/>
                <w:szCs w:val="22"/>
                <w:lang w:eastAsia="en-GB"/>
              </w:rPr>
              <w:t>153</w:t>
            </w:r>
          </w:p>
        </w:tc>
        <w:tc>
          <w:tcPr>
            <w:tcW w:w="737" w:type="pct"/>
            <w:shd w:val="clear" w:color="auto" w:fill="auto"/>
            <w:noWrap/>
            <w:vAlign w:val="bottom"/>
            <w:hideMark/>
          </w:tcPr>
          <w:p w:rsidR="00102B61" w:rsidRPr="00102B61" w:rsidRDefault="002E29C1" w:rsidP="00102B61">
            <w:pPr>
              <w:autoSpaceDE/>
              <w:autoSpaceDN/>
              <w:adjustRightInd/>
              <w:spacing w:after="0"/>
              <w:jc w:val="right"/>
              <w:rPr>
                <w:rFonts w:ascii="Calibri" w:eastAsia="Times New Roman" w:hAnsi="Calibri" w:cs="Times New Roman"/>
                <w:b/>
                <w:bCs/>
                <w:sz w:val="20"/>
                <w:szCs w:val="22"/>
                <w:lang w:eastAsia="en-GB"/>
              </w:rPr>
            </w:pPr>
            <w:r w:rsidRPr="00102B61">
              <w:rPr>
                <w:rFonts w:ascii="Calibri" w:eastAsia="Times New Roman" w:hAnsi="Calibri" w:cs="Times New Roman"/>
                <w:b/>
                <w:bCs/>
                <w:sz w:val="20"/>
                <w:szCs w:val="22"/>
                <w:lang w:eastAsia="en-GB"/>
              </w:rPr>
              <w:t>2797</w:t>
            </w:r>
          </w:p>
        </w:tc>
      </w:tr>
    </w:tbl>
    <w:p w:rsidR="00F538D9" w:rsidRPr="006912C6" w:rsidRDefault="00AC7EBD" w:rsidP="00F538D9">
      <w:pPr>
        <w:spacing w:after="0"/>
        <w:rPr>
          <w:lang w:eastAsia="en-GB"/>
        </w:rPr>
      </w:pPr>
    </w:p>
    <w:p w:rsidR="00E448BB" w:rsidRPr="006912C6" w:rsidRDefault="002E29C1" w:rsidP="00E448BB">
      <w:pPr>
        <w:rPr>
          <w:lang w:eastAsia="en-GB"/>
        </w:rPr>
      </w:pPr>
      <w:r w:rsidRPr="006912C6">
        <w:rPr>
          <w:lang w:eastAsia="en-GB"/>
        </w:rPr>
        <w:t xml:space="preserve">The acute/non-acute split for the six main Lancashire providers in Aug-18 shows that only Blackpool and East Lancashire have substantial proportions of each. </w:t>
      </w:r>
    </w:p>
    <w:p w:rsidR="006912C6" w:rsidRPr="006912C6" w:rsidRDefault="002E29C1" w:rsidP="00E448BB">
      <w:pPr>
        <w:rPr>
          <w:lang w:eastAsia="en-GB"/>
        </w:rPr>
      </w:pPr>
      <w:r w:rsidRPr="006912C6">
        <w:rPr>
          <w:noProof/>
          <w:lang w:eastAsia="en-GB"/>
        </w:rPr>
        <w:drawing>
          <wp:inline distT="0" distB="0" distL="0" distR="0">
            <wp:extent cx="5727700" cy="3072809"/>
            <wp:effectExtent l="0" t="0" r="6350" b="1333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D64CD" w:rsidRPr="006912C6" w:rsidRDefault="002E29C1" w:rsidP="003D64CD">
      <w:pPr>
        <w:spacing w:after="160" w:line="259" w:lineRule="auto"/>
        <w:rPr>
          <w:rFonts w:cs="Arial"/>
          <w:b/>
        </w:rPr>
      </w:pPr>
      <w:r w:rsidRPr="006912C6">
        <w:rPr>
          <w:rFonts w:cs="Arial"/>
          <w:b/>
        </w:rPr>
        <w:lastRenderedPageBreak/>
        <w:t>Social Care acute/non-acute trends for Blackpool and East Lancashire</w:t>
      </w:r>
    </w:p>
    <w:p w:rsidR="009021B6" w:rsidRPr="009021B6" w:rsidRDefault="002E29C1" w:rsidP="009021B6">
      <w:pPr>
        <w:autoSpaceDE/>
        <w:autoSpaceDN/>
        <w:adjustRightInd/>
        <w:spacing w:after="0"/>
        <w:jc w:val="left"/>
      </w:pPr>
      <w:r w:rsidRPr="00103C58">
        <w:t xml:space="preserve">The acute/non-acute trend for </w:t>
      </w:r>
      <w:r w:rsidRPr="009021B6">
        <w:t>social care days at Blackpool shows that acute numbers improved steadily in early 2018, though have risen again since Apr-18 and remain higher than non-acute:</w:t>
      </w:r>
    </w:p>
    <w:p w:rsidR="00624A0C" w:rsidRPr="009021B6" w:rsidRDefault="00AC7EBD">
      <w:pPr>
        <w:autoSpaceDE/>
        <w:autoSpaceDN/>
        <w:adjustRightInd/>
        <w:spacing w:after="0"/>
        <w:jc w:val="left"/>
      </w:pPr>
    </w:p>
    <w:p w:rsidR="00624A0C" w:rsidRPr="009021B6" w:rsidRDefault="002E29C1">
      <w:pPr>
        <w:autoSpaceDE/>
        <w:autoSpaceDN/>
        <w:adjustRightInd/>
        <w:spacing w:after="0"/>
        <w:jc w:val="left"/>
      </w:pPr>
      <w:r w:rsidRPr="009021B6">
        <w:rPr>
          <w:noProof/>
          <w:lang w:eastAsia="en-GB"/>
        </w:rPr>
        <w:drawing>
          <wp:inline distT="0" distB="0" distL="0" distR="0">
            <wp:extent cx="5727700" cy="3211032"/>
            <wp:effectExtent l="0" t="0" r="6350" b="889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D270C" w:rsidRPr="009021B6" w:rsidRDefault="00AC7EBD">
      <w:pPr>
        <w:autoSpaceDE/>
        <w:autoSpaceDN/>
        <w:adjustRightInd/>
        <w:spacing w:after="0"/>
        <w:jc w:val="left"/>
      </w:pPr>
    </w:p>
    <w:p w:rsidR="009021B6" w:rsidRPr="009021B6" w:rsidRDefault="002E29C1" w:rsidP="009021B6">
      <w:pPr>
        <w:autoSpaceDE/>
        <w:autoSpaceDN/>
        <w:adjustRightInd/>
        <w:spacing w:after="0"/>
        <w:jc w:val="left"/>
      </w:pPr>
      <w:r w:rsidRPr="009021B6">
        <w:t>The acute/non-acute trend for social care days at East Lancashire shows that both had improved considerably for many months, but both rose again in Jul-18 and the non-acute total has continued to increase in Aug-18:</w:t>
      </w:r>
    </w:p>
    <w:p w:rsidR="009021B6" w:rsidRPr="009021B6" w:rsidRDefault="00AC7EBD" w:rsidP="002418F8">
      <w:pPr>
        <w:autoSpaceDE/>
        <w:autoSpaceDN/>
        <w:adjustRightInd/>
        <w:spacing w:after="0"/>
        <w:jc w:val="left"/>
      </w:pPr>
    </w:p>
    <w:p w:rsidR="009021B6" w:rsidRPr="009021B6" w:rsidRDefault="002E29C1" w:rsidP="002418F8">
      <w:pPr>
        <w:autoSpaceDE/>
        <w:autoSpaceDN/>
        <w:adjustRightInd/>
        <w:spacing w:after="0"/>
        <w:jc w:val="left"/>
      </w:pPr>
      <w:r w:rsidRPr="009021B6">
        <w:rPr>
          <w:noProof/>
          <w:lang w:eastAsia="en-GB"/>
        </w:rPr>
        <w:drawing>
          <wp:inline distT="0" distB="0" distL="0" distR="0">
            <wp:extent cx="5727700" cy="3210560"/>
            <wp:effectExtent l="0" t="0" r="6350" b="889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D270C" w:rsidRPr="009021B6" w:rsidRDefault="00AC7EBD" w:rsidP="002418F8">
      <w:pPr>
        <w:autoSpaceDE/>
        <w:autoSpaceDN/>
        <w:adjustRightInd/>
        <w:spacing w:after="0"/>
        <w:jc w:val="left"/>
      </w:pPr>
    </w:p>
    <w:p w:rsidR="006D270C" w:rsidRPr="009021B6" w:rsidRDefault="00AC7EBD" w:rsidP="006D270C">
      <w:pPr>
        <w:autoSpaceDE/>
        <w:autoSpaceDN/>
        <w:adjustRightInd/>
        <w:jc w:val="left"/>
      </w:pPr>
    </w:p>
    <w:p w:rsidR="00E448BB" w:rsidRPr="009021B6" w:rsidRDefault="002E29C1" w:rsidP="00E448BB">
      <w:pPr>
        <w:pStyle w:val="Heading2"/>
      </w:pPr>
      <w:bookmarkStart w:id="14" w:name="_Toc520456207"/>
      <w:r w:rsidRPr="009021B6">
        <w:lastRenderedPageBreak/>
        <w:t>Provider Detail – Lancashire Residents</w:t>
      </w:r>
      <w:bookmarkEnd w:id="14"/>
    </w:p>
    <w:p w:rsidR="00D20769" w:rsidRPr="009021B6" w:rsidRDefault="00AC7EBD" w:rsidP="00D20769">
      <w:pPr>
        <w:spacing w:after="0" w:line="259" w:lineRule="auto"/>
        <w:rPr>
          <w:rFonts w:cs="Arial"/>
        </w:rPr>
      </w:pPr>
    </w:p>
    <w:p w:rsidR="00D20769" w:rsidRPr="00677EE2" w:rsidRDefault="002E29C1" w:rsidP="00D20769">
      <w:pPr>
        <w:spacing w:after="0" w:line="259" w:lineRule="auto"/>
        <w:rPr>
          <w:rFonts w:cs="Arial"/>
        </w:rPr>
      </w:pPr>
      <w:r w:rsidRPr="009021B6">
        <w:rPr>
          <w:rFonts w:cs="Arial"/>
        </w:rPr>
        <w:t xml:space="preserve">The full provider list of </w:t>
      </w:r>
      <w:r w:rsidRPr="00677EE2">
        <w:rPr>
          <w:rFonts w:cs="Arial"/>
        </w:rPr>
        <w:t>the Lancashire Aug-18 total of 2984 days was as follows and shows that Lancashire Teaching Hospitals accounted for 55.0% of the 1232 social care delays (compared with 51.6% in Jul-18):</w:t>
      </w:r>
    </w:p>
    <w:p w:rsidR="00B9790F" w:rsidRPr="00677EE2" w:rsidRDefault="00AC7EBD" w:rsidP="00D20769">
      <w:pPr>
        <w:spacing w:after="0" w:line="259" w:lineRule="auto"/>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912"/>
        <w:gridCol w:w="912"/>
        <w:gridCol w:w="912"/>
        <w:gridCol w:w="912"/>
        <w:gridCol w:w="912"/>
        <w:gridCol w:w="912"/>
      </w:tblGrid>
      <w:tr w:rsidR="00040D04" w:rsidTr="00B9790F">
        <w:trPr>
          <w:trHeight w:val="510"/>
        </w:trPr>
        <w:tc>
          <w:tcPr>
            <w:tcW w:w="1964" w:type="pct"/>
            <w:shd w:val="clear" w:color="4F81BD" w:fill="4F81BD"/>
            <w:noWrap/>
            <w:vAlign w:val="bottom"/>
            <w:hideMark/>
          </w:tcPr>
          <w:p w:rsidR="00B9790F" w:rsidRPr="00B9790F" w:rsidRDefault="002E29C1" w:rsidP="00B9790F">
            <w:pPr>
              <w:autoSpaceDE/>
              <w:autoSpaceDN/>
              <w:adjustRightInd/>
              <w:spacing w:after="0"/>
              <w:jc w:val="left"/>
              <w:rPr>
                <w:rFonts w:ascii="Calibri" w:eastAsia="Times New Roman" w:hAnsi="Calibri" w:cs="Times New Roman"/>
                <w:b/>
                <w:bCs/>
                <w:color w:val="FFFFFF"/>
                <w:sz w:val="22"/>
                <w:szCs w:val="22"/>
                <w:lang w:eastAsia="en-GB"/>
              </w:rPr>
            </w:pPr>
            <w:r w:rsidRPr="00B9790F">
              <w:rPr>
                <w:rFonts w:ascii="Calibri" w:eastAsia="Times New Roman" w:hAnsi="Calibri" w:cs="Times New Roman"/>
                <w:b/>
                <w:bCs/>
                <w:color w:val="FFFFFF"/>
                <w:sz w:val="22"/>
                <w:szCs w:val="22"/>
                <w:lang w:eastAsia="en-GB"/>
              </w:rPr>
              <w:t>Provider Org Name</w:t>
            </w:r>
          </w:p>
        </w:tc>
        <w:tc>
          <w:tcPr>
            <w:tcW w:w="506" w:type="pct"/>
            <w:shd w:val="clear" w:color="4F81BD" w:fill="4F81BD"/>
            <w:noWrap/>
            <w:vAlign w:val="bottom"/>
            <w:hideMark/>
          </w:tcPr>
          <w:p w:rsidR="00B9790F" w:rsidRPr="00B9790F" w:rsidRDefault="002E29C1" w:rsidP="00B9790F">
            <w:pPr>
              <w:autoSpaceDE/>
              <w:autoSpaceDN/>
              <w:adjustRightInd/>
              <w:spacing w:after="0"/>
              <w:jc w:val="left"/>
              <w:rPr>
                <w:rFonts w:ascii="Calibri" w:eastAsia="Times New Roman" w:hAnsi="Calibri" w:cs="Times New Roman"/>
                <w:b/>
                <w:bCs/>
                <w:color w:val="FFFFFF"/>
                <w:sz w:val="22"/>
                <w:szCs w:val="22"/>
                <w:lang w:eastAsia="en-GB"/>
              </w:rPr>
            </w:pPr>
            <w:r w:rsidRPr="00B9790F">
              <w:rPr>
                <w:rFonts w:ascii="Calibri" w:eastAsia="Times New Roman" w:hAnsi="Calibri" w:cs="Times New Roman"/>
                <w:b/>
                <w:bCs/>
                <w:color w:val="FFFFFF"/>
                <w:sz w:val="22"/>
                <w:szCs w:val="22"/>
                <w:lang w:eastAsia="en-GB"/>
              </w:rPr>
              <w:t>Sum of NHS Days</w:t>
            </w:r>
          </w:p>
        </w:tc>
        <w:tc>
          <w:tcPr>
            <w:tcW w:w="506" w:type="pct"/>
            <w:shd w:val="clear" w:color="4F81BD" w:fill="4F81BD"/>
            <w:noWrap/>
            <w:vAlign w:val="bottom"/>
            <w:hideMark/>
          </w:tcPr>
          <w:p w:rsidR="00B9790F" w:rsidRPr="00B9790F" w:rsidRDefault="002E29C1" w:rsidP="00B9790F">
            <w:pPr>
              <w:autoSpaceDE/>
              <w:autoSpaceDN/>
              <w:adjustRightInd/>
              <w:spacing w:after="0"/>
              <w:jc w:val="left"/>
              <w:rPr>
                <w:rFonts w:ascii="Calibri" w:eastAsia="Times New Roman" w:hAnsi="Calibri" w:cs="Times New Roman"/>
                <w:b/>
                <w:bCs/>
                <w:color w:val="FFFFFF"/>
                <w:sz w:val="22"/>
                <w:szCs w:val="22"/>
                <w:lang w:eastAsia="en-GB"/>
              </w:rPr>
            </w:pPr>
            <w:r w:rsidRPr="00B9790F">
              <w:rPr>
                <w:rFonts w:ascii="Calibri" w:eastAsia="Times New Roman" w:hAnsi="Calibri" w:cs="Times New Roman"/>
                <w:b/>
                <w:bCs/>
                <w:color w:val="FFFFFF"/>
                <w:sz w:val="22"/>
                <w:szCs w:val="22"/>
                <w:lang w:eastAsia="en-GB"/>
              </w:rPr>
              <w:t>Sum of Social Care Days</w:t>
            </w:r>
          </w:p>
        </w:tc>
        <w:tc>
          <w:tcPr>
            <w:tcW w:w="506" w:type="pct"/>
            <w:shd w:val="clear" w:color="4F81BD" w:fill="4F81BD"/>
            <w:noWrap/>
            <w:vAlign w:val="bottom"/>
            <w:hideMark/>
          </w:tcPr>
          <w:p w:rsidR="00B9790F" w:rsidRPr="00B9790F" w:rsidRDefault="002E29C1" w:rsidP="00B9790F">
            <w:pPr>
              <w:autoSpaceDE/>
              <w:autoSpaceDN/>
              <w:adjustRightInd/>
              <w:spacing w:after="0"/>
              <w:jc w:val="left"/>
              <w:rPr>
                <w:rFonts w:ascii="Calibri" w:eastAsia="Times New Roman" w:hAnsi="Calibri" w:cs="Times New Roman"/>
                <w:b/>
                <w:bCs/>
                <w:color w:val="FFFFFF"/>
                <w:sz w:val="22"/>
                <w:szCs w:val="22"/>
                <w:lang w:eastAsia="en-GB"/>
              </w:rPr>
            </w:pPr>
            <w:r w:rsidRPr="00B9790F">
              <w:rPr>
                <w:rFonts w:ascii="Calibri" w:eastAsia="Times New Roman" w:hAnsi="Calibri" w:cs="Times New Roman"/>
                <w:b/>
                <w:bCs/>
                <w:color w:val="FFFFFF"/>
                <w:sz w:val="22"/>
                <w:szCs w:val="22"/>
                <w:lang w:eastAsia="en-GB"/>
              </w:rPr>
              <w:t>Sum of NHS and Social Care Days</w:t>
            </w:r>
          </w:p>
        </w:tc>
        <w:tc>
          <w:tcPr>
            <w:tcW w:w="506" w:type="pct"/>
            <w:shd w:val="clear" w:color="4F81BD" w:fill="4F81BD"/>
            <w:noWrap/>
            <w:vAlign w:val="bottom"/>
            <w:hideMark/>
          </w:tcPr>
          <w:p w:rsidR="00B9790F" w:rsidRPr="00B9790F" w:rsidRDefault="002E29C1" w:rsidP="00B9790F">
            <w:pPr>
              <w:autoSpaceDE/>
              <w:autoSpaceDN/>
              <w:adjustRightInd/>
              <w:spacing w:after="0"/>
              <w:jc w:val="left"/>
              <w:rPr>
                <w:rFonts w:ascii="Calibri" w:eastAsia="Times New Roman" w:hAnsi="Calibri" w:cs="Times New Roman"/>
                <w:b/>
                <w:bCs/>
                <w:color w:val="FFFFFF"/>
                <w:sz w:val="22"/>
                <w:szCs w:val="22"/>
                <w:lang w:eastAsia="en-GB"/>
              </w:rPr>
            </w:pPr>
            <w:r w:rsidRPr="00B9790F">
              <w:rPr>
                <w:rFonts w:ascii="Calibri" w:eastAsia="Times New Roman" w:hAnsi="Calibri" w:cs="Times New Roman"/>
                <w:b/>
                <w:bCs/>
                <w:color w:val="FFFFFF"/>
                <w:sz w:val="22"/>
                <w:szCs w:val="22"/>
                <w:lang w:eastAsia="en-GB"/>
              </w:rPr>
              <w:t>Sum of Total Days</w:t>
            </w:r>
          </w:p>
        </w:tc>
        <w:tc>
          <w:tcPr>
            <w:tcW w:w="506" w:type="pct"/>
            <w:shd w:val="clear" w:color="4F81BD" w:fill="4F81BD"/>
            <w:vAlign w:val="bottom"/>
          </w:tcPr>
          <w:p w:rsidR="00B9790F" w:rsidRPr="00677EE2" w:rsidRDefault="002E29C1" w:rsidP="00B9790F">
            <w:pPr>
              <w:autoSpaceDE/>
              <w:autoSpaceDN/>
              <w:adjustRightInd/>
              <w:spacing w:after="0"/>
              <w:jc w:val="left"/>
              <w:rPr>
                <w:rFonts w:ascii="Calibri" w:eastAsia="Times New Roman" w:hAnsi="Calibri" w:cs="Times New Roman"/>
                <w:b/>
                <w:bCs/>
                <w:color w:val="FFFFFF"/>
                <w:sz w:val="22"/>
                <w:szCs w:val="22"/>
                <w:lang w:eastAsia="en-GB"/>
              </w:rPr>
            </w:pPr>
            <w:r w:rsidRPr="00677EE2">
              <w:rPr>
                <w:rFonts w:ascii="Calibri" w:eastAsia="Times New Roman" w:hAnsi="Calibri" w:cs="Times New Roman"/>
                <w:b/>
                <w:bCs/>
                <w:color w:val="FFFFFF"/>
                <w:sz w:val="22"/>
                <w:szCs w:val="22"/>
                <w:lang w:eastAsia="en-GB"/>
              </w:rPr>
              <w:t>%of Social Care Days</w:t>
            </w:r>
          </w:p>
        </w:tc>
        <w:tc>
          <w:tcPr>
            <w:tcW w:w="506" w:type="pct"/>
            <w:shd w:val="clear" w:color="4F81BD" w:fill="4F81BD"/>
            <w:vAlign w:val="bottom"/>
          </w:tcPr>
          <w:p w:rsidR="00B9790F" w:rsidRPr="00677EE2" w:rsidRDefault="002E29C1" w:rsidP="00B9790F">
            <w:pPr>
              <w:autoSpaceDE/>
              <w:autoSpaceDN/>
              <w:adjustRightInd/>
              <w:spacing w:after="0"/>
              <w:jc w:val="left"/>
              <w:rPr>
                <w:rFonts w:ascii="Calibri" w:eastAsia="Times New Roman" w:hAnsi="Calibri" w:cs="Times New Roman"/>
                <w:b/>
                <w:bCs/>
                <w:color w:val="FFFFFF"/>
                <w:sz w:val="22"/>
                <w:szCs w:val="22"/>
                <w:lang w:eastAsia="en-GB"/>
              </w:rPr>
            </w:pPr>
            <w:r w:rsidRPr="00677EE2">
              <w:rPr>
                <w:rFonts w:ascii="Calibri" w:eastAsia="Times New Roman" w:hAnsi="Calibri" w:cs="Times New Roman"/>
                <w:b/>
                <w:bCs/>
                <w:color w:val="FFFFFF"/>
                <w:sz w:val="22"/>
                <w:szCs w:val="22"/>
                <w:lang w:eastAsia="en-GB"/>
              </w:rPr>
              <w:t>% of Total Days</w:t>
            </w:r>
          </w:p>
        </w:tc>
      </w:tr>
      <w:tr w:rsidR="00040D04" w:rsidTr="00B9790F">
        <w:trPr>
          <w:trHeight w:val="510"/>
        </w:trPr>
        <w:tc>
          <w:tcPr>
            <w:tcW w:w="1964" w:type="pct"/>
            <w:shd w:val="clear" w:color="auto" w:fill="auto"/>
            <w:noWrap/>
            <w:vAlign w:val="bottom"/>
            <w:hideMark/>
          </w:tcPr>
          <w:p w:rsidR="00B9790F" w:rsidRPr="00B9790F" w:rsidRDefault="002E29C1" w:rsidP="00B9790F">
            <w:pPr>
              <w:autoSpaceDE/>
              <w:autoSpaceDN/>
              <w:adjustRightInd/>
              <w:spacing w:after="0"/>
              <w:jc w:val="left"/>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AIREDALE NHS FOUNDATION TRUST</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49</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0</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0</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49</w:t>
            </w:r>
          </w:p>
        </w:tc>
        <w:tc>
          <w:tcPr>
            <w:tcW w:w="506" w:type="pct"/>
            <w:vAlign w:val="center"/>
          </w:tcPr>
          <w:p w:rsidR="00B9790F" w:rsidRPr="00677EE2" w:rsidRDefault="002E29C1" w:rsidP="00B9790F">
            <w:pPr>
              <w:autoSpaceDE/>
              <w:autoSpaceDN/>
              <w:adjustRightInd/>
              <w:spacing w:after="0"/>
              <w:jc w:val="center"/>
              <w:rPr>
                <w:rFonts w:ascii="Calibri" w:eastAsia="Times New Roman" w:hAnsi="Calibri" w:cs="Times New Roman"/>
                <w:sz w:val="22"/>
                <w:szCs w:val="22"/>
                <w:lang w:eastAsia="en-GB"/>
              </w:rPr>
            </w:pPr>
            <w:r w:rsidRPr="00677EE2">
              <w:rPr>
                <w:rFonts w:ascii="Calibri" w:hAnsi="Calibri"/>
                <w:sz w:val="22"/>
                <w:szCs w:val="22"/>
              </w:rPr>
              <w:t>0.0%</w:t>
            </w:r>
          </w:p>
        </w:tc>
        <w:tc>
          <w:tcPr>
            <w:tcW w:w="506" w:type="pct"/>
            <w:vAlign w:val="center"/>
          </w:tcPr>
          <w:p w:rsidR="00B9790F" w:rsidRPr="00677EE2" w:rsidRDefault="002E29C1" w:rsidP="00B9790F">
            <w:pPr>
              <w:autoSpaceDE/>
              <w:autoSpaceDN/>
              <w:adjustRightInd/>
              <w:spacing w:after="0"/>
              <w:jc w:val="center"/>
              <w:rPr>
                <w:rFonts w:ascii="Calibri" w:eastAsia="Times New Roman" w:hAnsi="Calibri" w:cs="Times New Roman"/>
                <w:sz w:val="22"/>
                <w:szCs w:val="22"/>
                <w:lang w:eastAsia="en-GB"/>
              </w:rPr>
            </w:pPr>
            <w:r w:rsidRPr="00677EE2">
              <w:rPr>
                <w:rFonts w:ascii="Calibri" w:hAnsi="Calibri"/>
                <w:sz w:val="22"/>
                <w:szCs w:val="22"/>
              </w:rPr>
              <w:t>1.6%</w:t>
            </w:r>
          </w:p>
        </w:tc>
      </w:tr>
      <w:tr w:rsidR="00040D04" w:rsidTr="00B9790F">
        <w:trPr>
          <w:trHeight w:val="510"/>
        </w:trPr>
        <w:tc>
          <w:tcPr>
            <w:tcW w:w="1964" w:type="pct"/>
            <w:shd w:val="clear" w:color="auto" w:fill="auto"/>
            <w:noWrap/>
            <w:vAlign w:val="bottom"/>
            <w:hideMark/>
          </w:tcPr>
          <w:p w:rsidR="00B9790F" w:rsidRPr="00B9790F" w:rsidRDefault="002E29C1" w:rsidP="00B9790F">
            <w:pPr>
              <w:autoSpaceDE/>
              <w:autoSpaceDN/>
              <w:adjustRightInd/>
              <w:spacing w:after="0"/>
              <w:jc w:val="left"/>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BLACKPOOL TEACHING HOSPITALS NHS FOUNDATION TRUST</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178</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175</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18</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371</w:t>
            </w:r>
          </w:p>
        </w:tc>
        <w:tc>
          <w:tcPr>
            <w:tcW w:w="506" w:type="pct"/>
            <w:vAlign w:val="center"/>
          </w:tcPr>
          <w:p w:rsidR="00B9790F" w:rsidRPr="00677EE2" w:rsidRDefault="002E29C1" w:rsidP="00B9790F">
            <w:pPr>
              <w:spacing w:after="0"/>
              <w:jc w:val="center"/>
              <w:rPr>
                <w:rFonts w:ascii="Calibri" w:hAnsi="Calibri"/>
                <w:sz w:val="22"/>
                <w:szCs w:val="22"/>
              </w:rPr>
            </w:pPr>
            <w:r w:rsidRPr="00677EE2">
              <w:rPr>
                <w:rFonts w:ascii="Calibri" w:hAnsi="Calibri"/>
                <w:sz w:val="22"/>
                <w:szCs w:val="22"/>
              </w:rPr>
              <w:t>14.2%</w:t>
            </w:r>
          </w:p>
        </w:tc>
        <w:tc>
          <w:tcPr>
            <w:tcW w:w="506" w:type="pct"/>
            <w:vAlign w:val="center"/>
          </w:tcPr>
          <w:p w:rsidR="00B9790F" w:rsidRPr="00677EE2" w:rsidRDefault="002E29C1" w:rsidP="00B9790F">
            <w:pPr>
              <w:spacing w:after="0"/>
              <w:jc w:val="center"/>
              <w:rPr>
                <w:rFonts w:ascii="Calibri" w:hAnsi="Calibri"/>
                <w:sz w:val="22"/>
                <w:szCs w:val="22"/>
              </w:rPr>
            </w:pPr>
            <w:r w:rsidRPr="00677EE2">
              <w:rPr>
                <w:rFonts w:ascii="Calibri" w:hAnsi="Calibri"/>
                <w:sz w:val="22"/>
                <w:szCs w:val="22"/>
              </w:rPr>
              <w:t>12.4%</w:t>
            </w:r>
          </w:p>
        </w:tc>
      </w:tr>
      <w:tr w:rsidR="00040D04" w:rsidTr="00B9790F">
        <w:trPr>
          <w:trHeight w:val="510"/>
        </w:trPr>
        <w:tc>
          <w:tcPr>
            <w:tcW w:w="1964" w:type="pct"/>
            <w:shd w:val="clear" w:color="auto" w:fill="auto"/>
            <w:noWrap/>
            <w:vAlign w:val="bottom"/>
            <w:hideMark/>
          </w:tcPr>
          <w:p w:rsidR="00B9790F" w:rsidRPr="00B9790F" w:rsidRDefault="002E29C1" w:rsidP="00B9790F">
            <w:pPr>
              <w:autoSpaceDE/>
              <w:autoSpaceDN/>
              <w:adjustRightInd/>
              <w:spacing w:after="0"/>
              <w:jc w:val="left"/>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EAST LANCASHIRE HOSPITALS NHS TRUST</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419</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130</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2</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551</w:t>
            </w:r>
          </w:p>
        </w:tc>
        <w:tc>
          <w:tcPr>
            <w:tcW w:w="506" w:type="pct"/>
            <w:vAlign w:val="center"/>
          </w:tcPr>
          <w:p w:rsidR="00B9790F" w:rsidRPr="00677EE2" w:rsidRDefault="002E29C1" w:rsidP="00B9790F">
            <w:pPr>
              <w:spacing w:after="0"/>
              <w:jc w:val="center"/>
              <w:rPr>
                <w:rFonts w:ascii="Calibri" w:hAnsi="Calibri"/>
                <w:sz w:val="22"/>
                <w:szCs w:val="22"/>
              </w:rPr>
            </w:pPr>
            <w:r w:rsidRPr="00677EE2">
              <w:rPr>
                <w:rFonts w:ascii="Calibri" w:hAnsi="Calibri"/>
                <w:sz w:val="22"/>
                <w:szCs w:val="22"/>
              </w:rPr>
              <w:t>10.6%</w:t>
            </w:r>
          </w:p>
        </w:tc>
        <w:tc>
          <w:tcPr>
            <w:tcW w:w="506" w:type="pct"/>
            <w:vAlign w:val="center"/>
          </w:tcPr>
          <w:p w:rsidR="00B9790F" w:rsidRPr="00677EE2" w:rsidRDefault="002E29C1" w:rsidP="00B9790F">
            <w:pPr>
              <w:spacing w:after="0"/>
              <w:jc w:val="center"/>
              <w:rPr>
                <w:rFonts w:ascii="Calibri" w:hAnsi="Calibri"/>
                <w:sz w:val="22"/>
                <w:szCs w:val="22"/>
              </w:rPr>
            </w:pPr>
            <w:r w:rsidRPr="00677EE2">
              <w:rPr>
                <w:rFonts w:ascii="Calibri" w:hAnsi="Calibri"/>
                <w:sz w:val="22"/>
                <w:szCs w:val="22"/>
              </w:rPr>
              <w:t>18.5%</w:t>
            </w:r>
          </w:p>
        </w:tc>
      </w:tr>
      <w:tr w:rsidR="00040D04" w:rsidTr="00B9790F">
        <w:trPr>
          <w:trHeight w:val="510"/>
        </w:trPr>
        <w:tc>
          <w:tcPr>
            <w:tcW w:w="1964" w:type="pct"/>
            <w:shd w:val="clear" w:color="auto" w:fill="auto"/>
            <w:noWrap/>
            <w:vAlign w:val="bottom"/>
            <w:hideMark/>
          </w:tcPr>
          <w:p w:rsidR="00B9790F" w:rsidRPr="00B9790F" w:rsidRDefault="002E29C1" w:rsidP="00B9790F">
            <w:pPr>
              <w:autoSpaceDE/>
              <w:autoSpaceDN/>
              <w:adjustRightInd/>
              <w:spacing w:after="0"/>
              <w:jc w:val="left"/>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HARROGATE AND DISTRICT NHS FOUNDATION TRUST</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3</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0</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0</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3</w:t>
            </w:r>
          </w:p>
        </w:tc>
        <w:tc>
          <w:tcPr>
            <w:tcW w:w="506" w:type="pct"/>
            <w:vAlign w:val="center"/>
          </w:tcPr>
          <w:p w:rsidR="00B9790F" w:rsidRPr="00677EE2" w:rsidRDefault="002E29C1" w:rsidP="00B9790F">
            <w:pPr>
              <w:spacing w:after="0"/>
              <w:jc w:val="center"/>
              <w:rPr>
                <w:rFonts w:ascii="Calibri" w:hAnsi="Calibri"/>
                <w:sz w:val="22"/>
                <w:szCs w:val="22"/>
              </w:rPr>
            </w:pPr>
            <w:r w:rsidRPr="00677EE2">
              <w:rPr>
                <w:rFonts w:ascii="Calibri" w:hAnsi="Calibri"/>
                <w:sz w:val="22"/>
                <w:szCs w:val="22"/>
              </w:rPr>
              <w:t>0.0%</w:t>
            </w:r>
          </w:p>
        </w:tc>
        <w:tc>
          <w:tcPr>
            <w:tcW w:w="506" w:type="pct"/>
            <w:vAlign w:val="center"/>
          </w:tcPr>
          <w:p w:rsidR="00B9790F" w:rsidRPr="00677EE2" w:rsidRDefault="002E29C1" w:rsidP="00B9790F">
            <w:pPr>
              <w:spacing w:after="0"/>
              <w:jc w:val="center"/>
              <w:rPr>
                <w:rFonts w:ascii="Calibri" w:hAnsi="Calibri"/>
                <w:sz w:val="22"/>
                <w:szCs w:val="22"/>
              </w:rPr>
            </w:pPr>
            <w:r w:rsidRPr="00677EE2">
              <w:rPr>
                <w:rFonts w:ascii="Calibri" w:hAnsi="Calibri"/>
                <w:sz w:val="22"/>
                <w:szCs w:val="22"/>
              </w:rPr>
              <w:t>0.1%</w:t>
            </w:r>
          </w:p>
        </w:tc>
      </w:tr>
      <w:tr w:rsidR="00040D04" w:rsidTr="00B9790F">
        <w:trPr>
          <w:trHeight w:val="510"/>
        </w:trPr>
        <w:tc>
          <w:tcPr>
            <w:tcW w:w="1964" w:type="pct"/>
            <w:shd w:val="clear" w:color="auto" w:fill="auto"/>
            <w:noWrap/>
            <w:vAlign w:val="bottom"/>
            <w:hideMark/>
          </w:tcPr>
          <w:p w:rsidR="00B9790F" w:rsidRPr="00B9790F" w:rsidRDefault="002E29C1" w:rsidP="00B9790F">
            <w:pPr>
              <w:autoSpaceDE/>
              <w:autoSpaceDN/>
              <w:adjustRightInd/>
              <w:spacing w:after="0"/>
              <w:jc w:val="left"/>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LANCASHIRE CARE NHS FOUNDATION TRUST</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93</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0</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104</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197</w:t>
            </w:r>
          </w:p>
        </w:tc>
        <w:tc>
          <w:tcPr>
            <w:tcW w:w="506" w:type="pct"/>
            <w:vAlign w:val="center"/>
          </w:tcPr>
          <w:p w:rsidR="00B9790F" w:rsidRPr="00677EE2" w:rsidRDefault="002E29C1" w:rsidP="00B9790F">
            <w:pPr>
              <w:spacing w:after="0"/>
              <w:jc w:val="center"/>
              <w:rPr>
                <w:rFonts w:ascii="Calibri" w:hAnsi="Calibri"/>
                <w:sz w:val="22"/>
                <w:szCs w:val="22"/>
              </w:rPr>
            </w:pPr>
            <w:r w:rsidRPr="00677EE2">
              <w:rPr>
                <w:rFonts w:ascii="Calibri" w:hAnsi="Calibri"/>
                <w:sz w:val="22"/>
                <w:szCs w:val="22"/>
              </w:rPr>
              <w:t>0.0%</w:t>
            </w:r>
          </w:p>
        </w:tc>
        <w:tc>
          <w:tcPr>
            <w:tcW w:w="506" w:type="pct"/>
            <w:vAlign w:val="center"/>
          </w:tcPr>
          <w:p w:rsidR="00B9790F" w:rsidRPr="00677EE2" w:rsidRDefault="002E29C1" w:rsidP="00B9790F">
            <w:pPr>
              <w:spacing w:after="0"/>
              <w:jc w:val="center"/>
              <w:rPr>
                <w:rFonts w:ascii="Calibri" w:hAnsi="Calibri"/>
                <w:sz w:val="22"/>
                <w:szCs w:val="22"/>
              </w:rPr>
            </w:pPr>
            <w:r w:rsidRPr="00677EE2">
              <w:rPr>
                <w:rFonts w:ascii="Calibri" w:hAnsi="Calibri"/>
                <w:sz w:val="22"/>
                <w:szCs w:val="22"/>
              </w:rPr>
              <w:t>6.6%</w:t>
            </w:r>
          </w:p>
        </w:tc>
      </w:tr>
      <w:tr w:rsidR="00040D04" w:rsidTr="00B9790F">
        <w:trPr>
          <w:trHeight w:val="510"/>
        </w:trPr>
        <w:tc>
          <w:tcPr>
            <w:tcW w:w="1964" w:type="pct"/>
            <w:shd w:val="clear" w:color="auto" w:fill="auto"/>
            <w:noWrap/>
            <w:vAlign w:val="bottom"/>
            <w:hideMark/>
          </w:tcPr>
          <w:p w:rsidR="00B9790F" w:rsidRPr="00B9790F" w:rsidRDefault="002E29C1" w:rsidP="00B9790F">
            <w:pPr>
              <w:autoSpaceDE/>
              <w:autoSpaceDN/>
              <w:adjustRightInd/>
              <w:spacing w:after="0"/>
              <w:jc w:val="left"/>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LANCASHIRE TEACHING HOSPITALS NHS FOUNDATION TRUST</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505</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677</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29</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1211</w:t>
            </w:r>
          </w:p>
        </w:tc>
        <w:tc>
          <w:tcPr>
            <w:tcW w:w="506" w:type="pct"/>
            <w:vAlign w:val="center"/>
          </w:tcPr>
          <w:p w:rsidR="00B9790F" w:rsidRPr="00677EE2" w:rsidRDefault="002E29C1" w:rsidP="00B9790F">
            <w:pPr>
              <w:spacing w:after="0"/>
              <w:jc w:val="center"/>
              <w:rPr>
                <w:rFonts w:ascii="Calibri" w:hAnsi="Calibri"/>
                <w:sz w:val="22"/>
                <w:szCs w:val="22"/>
              </w:rPr>
            </w:pPr>
            <w:r w:rsidRPr="00677EE2">
              <w:rPr>
                <w:rFonts w:ascii="Calibri" w:hAnsi="Calibri"/>
                <w:sz w:val="22"/>
                <w:szCs w:val="22"/>
              </w:rPr>
              <w:t>55.0%</w:t>
            </w:r>
          </w:p>
        </w:tc>
        <w:tc>
          <w:tcPr>
            <w:tcW w:w="506" w:type="pct"/>
            <w:vAlign w:val="center"/>
          </w:tcPr>
          <w:p w:rsidR="00B9790F" w:rsidRPr="00677EE2" w:rsidRDefault="002E29C1" w:rsidP="00B9790F">
            <w:pPr>
              <w:spacing w:after="0"/>
              <w:jc w:val="center"/>
              <w:rPr>
                <w:rFonts w:ascii="Calibri" w:hAnsi="Calibri"/>
                <w:sz w:val="22"/>
                <w:szCs w:val="22"/>
              </w:rPr>
            </w:pPr>
            <w:r w:rsidRPr="00677EE2">
              <w:rPr>
                <w:rFonts w:ascii="Calibri" w:hAnsi="Calibri"/>
                <w:sz w:val="22"/>
                <w:szCs w:val="22"/>
              </w:rPr>
              <w:t>40.6%</w:t>
            </w:r>
          </w:p>
        </w:tc>
      </w:tr>
      <w:tr w:rsidR="00040D04" w:rsidTr="00B9790F">
        <w:trPr>
          <w:trHeight w:val="510"/>
        </w:trPr>
        <w:tc>
          <w:tcPr>
            <w:tcW w:w="1964" w:type="pct"/>
            <w:shd w:val="clear" w:color="auto" w:fill="auto"/>
            <w:noWrap/>
            <w:vAlign w:val="bottom"/>
            <w:hideMark/>
          </w:tcPr>
          <w:p w:rsidR="00B9790F" w:rsidRPr="00B9790F" w:rsidRDefault="002E29C1" w:rsidP="00B9790F">
            <w:pPr>
              <w:autoSpaceDE/>
              <w:autoSpaceDN/>
              <w:adjustRightInd/>
              <w:spacing w:after="0"/>
              <w:jc w:val="left"/>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LEEDS AND YORK PARTNERSHIP NHS FOUNDATION TRUST</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0</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0</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31</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31</w:t>
            </w:r>
          </w:p>
        </w:tc>
        <w:tc>
          <w:tcPr>
            <w:tcW w:w="506" w:type="pct"/>
            <w:vAlign w:val="center"/>
          </w:tcPr>
          <w:p w:rsidR="00B9790F" w:rsidRPr="00677EE2" w:rsidRDefault="002E29C1" w:rsidP="00B9790F">
            <w:pPr>
              <w:spacing w:after="0"/>
              <w:jc w:val="center"/>
              <w:rPr>
                <w:rFonts w:ascii="Calibri" w:hAnsi="Calibri"/>
                <w:sz w:val="22"/>
                <w:szCs w:val="22"/>
              </w:rPr>
            </w:pPr>
            <w:r w:rsidRPr="00677EE2">
              <w:rPr>
                <w:rFonts w:ascii="Calibri" w:hAnsi="Calibri"/>
                <w:sz w:val="22"/>
                <w:szCs w:val="22"/>
              </w:rPr>
              <w:t>0.0%</w:t>
            </w:r>
          </w:p>
        </w:tc>
        <w:tc>
          <w:tcPr>
            <w:tcW w:w="506" w:type="pct"/>
            <w:vAlign w:val="center"/>
          </w:tcPr>
          <w:p w:rsidR="00B9790F" w:rsidRPr="00677EE2" w:rsidRDefault="002E29C1" w:rsidP="00B9790F">
            <w:pPr>
              <w:spacing w:after="0"/>
              <w:jc w:val="center"/>
              <w:rPr>
                <w:rFonts w:ascii="Calibri" w:hAnsi="Calibri"/>
                <w:sz w:val="22"/>
                <w:szCs w:val="22"/>
              </w:rPr>
            </w:pPr>
            <w:r w:rsidRPr="00677EE2">
              <w:rPr>
                <w:rFonts w:ascii="Calibri" w:hAnsi="Calibri"/>
                <w:sz w:val="22"/>
                <w:szCs w:val="22"/>
              </w:rPr>
              <w:t>1.0%</w:t>
            </w:r>
          </w:p>
        </w:tc>
      </w:tr>
      <w:tr w:rsidR="00040D04" w:rsidTr="00B9790F">
        <w:trPr>
          <w:trHeight w:val="510"/>
        </w:trPr>
        <w:tc>
          <w:tcPr>
            <w:tcW w:w="1964" w:type="pct"/>
            <w:shd w:val="clear" w:color="auto" w:fill="auto"/>
            <w:noWrap/>
            <w:vAlign w:val="bottom"/>
            <w:hideMark/>
          </w:tcPr>
          <w:p w:rsidR="00B9790F" w:rsidRPr="00B9790F" w:rsidRDefault="002E29C1" w:rsidP="00B9790F">
            <w:pPr>
              <w:autoSpaceDE/>
              <w:autoSpaceDN/>
              <w:adjustRightInd/>
              <w:spacing w:after="0"/>
              <w:jc w:val="left"/>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LIVERPOOL HEART AND CHEST HOSPITAL NHS FOUNDATION TRUST</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1</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0</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0</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1</w:t>
            </w:r>
          </w:p>
        </w:tc>
        <w:tc>
          <w:tcPr>
            <w:tcW w:w="506" w:type="pct"/>
            <w:vAlign w:val="center"/>
          </w:tcPr>
          <w:p w:rsidR="00B9790F" w:rsidRPr="00677EE2" w:rsidRDefault="002E29C1" w:rsidP="00B9790F">
            <w:pPr>
              <w:spacing w:after="0"/>
              <w:jc w:val="center"/>
              <w:rPr>
                <w:rFonts w:ascii="Calibri" w:hAnsi="Calibri"/>
                <w:sz w:val="22"/>
                <w:szCs w:val="22"/>
              </w:rPr>
            </w:pPr>
            <w:r w:rsidRPr="00677EE2">
              <w:rPr>
                <w:rFonts w:ascii="Calibri" w:hAnsi="Calibri"/>
                <w:sz w:val="22"/>
                <w:szCs w:val="22"/>
              </w:rPr>
              <w:t>0.0%</w:t>
            </w:r>
          </w:p>
        </w:tc>
        <w:tc>
          <w:tcPr>
            <w:tcW w:w="506" w:type="pct"/>
            <w:vAlign w:val="center"/>
          </w:tcPr>
          <w:p w:rsidR="00B9790F" w:rsidRPr="00677EE2" w:rsidRDefault="002E29C1" w:rsidP="00B9790F">
            <w:pPr>
              <w:spacing w:after="0"/>
              <w:jc w:val="center"/>
              <w:rPr>
                <w:rFonts w:ascii="Calibri" w:hAnsi="Calibri"/>
                <w:sz w:val="22"/>
                <w:szCs w:val="22"/>
              </w:rPr>
            </w:pPr>
            <w:r w:rsidRPr="00677EE2">
              <w:rPr>
                <w:rFonts w:ascii="Calibri" w:hAnsi="Calibri"/>
                <w:sz w:val="22"/>
                <w:szCs w:val="22"/>
              </w:rPr>
              <w:t>0.0%</w:t>
            </w:r>
          </w:p>
        </w:tc>
      </w:tr>
      <w:tr w:rsidR="00040D04" w:rsidTr="00B9790F">
        <w:trPr>
          <w:trHeight w:val="510"/>
        </w:trPr>
        <w:tc>
          <w:tcPr>
            <w:tcW w:w="1964" w:type="pct"/>
            <w:shd w:val="clear" w:color="auto" w:fill="auto"/>
            <w:noWrap/>
            <w:vAlign w:val="bottom"/>
            <w:hideMark/>
          </w:tcPr>
          <w:p w:rsidR="00B9790F" w:rsidRPr="00B9790F" w:rsidRDefault="002E29C1" w:rsidP="00B9790F">
            <w:pPr>
              <w:autoSpaceDE/>
              <w:autoSpaceDN/>
              <w:adjustRightInd/>
              <w:spacing w:after="0"/>
              <w:jc w:val="left"/>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MERSEY CARE NHS FOUNDATION TRUST</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0</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31</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0</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31</w:t>
            </w:r>
          </w:p>
        </w:tc>
        <w:tc>
          <w:tcPr>
            <w:tcW w:w="506" w:type="pct"/>
            <w:vAlign w:val="center"/>
          </w:tcPr>
          <w:p w:rsidR="00B9790F" w:rsidRPr="00677EE2" w:rsidRDefault="002E29C1" w:rsidP="00B9790F">
            <w:pPr>
              <w:spacing w:after="0"/>
              <w:jc w:val="center"/>
              <w:rPr>
                <w:rFonts w:ascii="Calibri" w:hAnsi="Calibri"/>
                <w:sz w:val="22"/>
                <w:szCs w:val="22"/>
              </w:rPr>
            </w:pPr>
            <w:r w:rsidRPr="00677EE2">
              <w:rPr>
                <w:rFonts w:ascii="Calibri" w:hAnsi="Calibri"/>
                <w:sz w:val="22"/>
                <w:szCs w:val="22"/>
              </w:rPr>
              <w:t>2.5%</w:t>
            </w:r>
          </w:p>
        </w:tc>
        <w:tc>
          <w:tcPr>
            <w:tcW w:w="506" w:type="pct"/>
            <w:vAlign w:val="center"/>
          </w:tcPr>
          <w:p w:rsidR="00B9790F" w:rsidRPr="00677EE2" w:rsidRDefault="002E29C1" w:rsidP="00B9790F">
            <w:pPr>
              <w:spacing w:after="0"/>
              <w:jc w:val="center"/>
              <w:rPr>
                <w:rFonts w:ascii="Calibri" w:hAnsi="Calibri"/>
                <w:sz w:val="22"/>
                <w:szCs w:val="22"/>
              </w:rPr>
            </w:pPr>
            <w:r w:rsidRPr="00677EE2">
              <w:rPr>
                <w:rFonts w:ascii="Calibri" w:hAnsi="Calibri"/>
                <w:sz w:val="22"/>
                <w:szCs w:val="22"/>
              </w:rPr>
              <w:t>1.0%</w:t>
            </w:r>
          </w:p>
        </w:tc>
      </w:tr>
      <w:tr w:rsidR="00040D04" w:rsidTr="00B9790F">
        <w:trPr>
          <w:trHeight w:val="510"/>
        </w:trPr>
        <w:tc>
          <w:tcPr>
            <w:tcW w:w="1964" w:type="pct"/>
            <w:shd w:val="clear" w:color="auto" w:fill="auto"/>
            <w:noWrap/>
            <w:vAlign w:val="bottom"/>
            <w:hideMark/>
          </w:tcPr>
          <w:p w:rsidR="00B9790F" w:rsidRPr="00B9790F" w:rsidRDefault="002E29C1" w:rsidP="00B9790F">
            <w:pPr>
              <w:autoSpaceDE/>
              <w:autoSpaceDN/>
              <w:adjustRightInd/>
              <w:spacing w:after="0"/>
              <w:jc w:val="left"/>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NORFOLK COMMUNITY HEALTH AND CARE NHS TRUST</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14</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0</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0</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14</w:t>
            </w:r>
          </w:p>
        </w:tc>
        <w:tc>
          <w:tcPr>
            <w:tcW w:w="506" w:type="pct"/>
            <w:vAlign w:val="center"/>
          </w:tcPr>
          <w:p w:rsidR="00B9790F" w:rsidRPr="00677EE2" w:rsidRDefault="002E29C1" w:rsidP="00B9790F">
            <w:pPr>
              <w:spacing w:after="0"/>
              <w:jc w:val="center"/>
              <w:rPr>
                <w:rFonts w:ascii="Calibri" w:hAnsi="Calibri"/>
                <w:sz w:val="22"/>
                <w:szCs w:val="22"/>
              </w:rPr>
            </w:pPr>
            <w:r w:rsidRPr="00677EE2">
              <w:rPr>
                <w:rFonts w:ascii="Calibri" w:hAnsi="Calibri"/>
                <w:sz w:val="22"/>
                <w:szCs w:val="22"/>
              </w:rPr>
              <w:t>0.0%</w:t>
            </w:r>
          </w:p>
        </w:tc>
        <w:tc>
          <w:tcPr>
            <w:tcW w:w="506" w:type="pct"/>
            <w:vAlign w:val="center"/>
          </w:tcPr>
          <w:p w:rsidR="00B9790F" w:rsidRPr="00677EE2" w:rsidRDefault="002E29C1" w:rsidP="00B9790F">
            <w:pPr>
              <w:spacing w:after="0"/>
              <w:jc w:val="center"/>
              <w:rPr>
                <w:rFonts w:ascii="Calibri" w:hAnsi="Calibri"/>
                <w:sz w:val="22"/>
                <w:szCs w:val="22"/>
              </w:rPr>
            </w:pPr>
            <w:r w:rsidRPr="00677EE2">
              <w:rPr>
                <w:rFonts w:ascii="Calibri" w:hAnsi="Calibri"/>
                <w:sz w:val="22"/>
                <w:szCs w:val="22"/>
              </w:rPr>
              <w:t>0.5%</w:t>
            </w:r>
          </w:p>
        </w:tc>
      </w:tr>
      <w:tr w:rsidR="00040D04" w:rsidTr="00B9790F">
        <w:trPr>
          <w:trHeight w:val="510"/>
        </w:trPr>
        <w:tc>
          <w:tcPr>
            <w:tcW w:w="1964" w:type="pct"/>
            <w:shd w:val="clear" w:color="auto" w:fill="auto"/>
            <w:noWrap/>
            <w:vAlign w:val="bottom"/>
            <w:hideMark/>
          </w:tcPr>
          <w:p w:rsidR="00B9790F" w:rsidRPr="00B9790F" w:rsidRDefault="002E29C1" w:rsidP="00B9790F">
            <w:pPr>
              <w:autoSpaceDE/>
              <w:autoSpaceDN/>
              <w:adjustRightInd/>
              <w:spacing w:after="0"/>
              <w:jc w:val="left"/>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PENNINE ACUTE HOSPITALS NHS TRUST</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4</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8</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0</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12</w:t>
            </w:r>
          </w:p>
        </w:tc>
        <w:tc>
          <w:tcPr>
            <w:tcW w:w="506" w:type="pct"/>
            <w:vAlign w:val="center"/>
          </w:tcPr>
          <w:p w:rsidR="00B9790F" w:rsidRPr="00677EE2" w:rsidRDefault="002E29C1" w:rsidP="00B9790F">
            <w:pPr>
              <w:spacing w:after="0"/>
              <w:jc w:val="center"/>
              <w:rPr>
                <w:rFonts w:ascii="Calibri" w:hAnsi="Calibri"/>
                <w:sz w:val="22"/>
                <w:szCs w:val="22"/>
              </w:rPr>
            </w:pPr>
            <w:r w:rsidRPr="00677EE2">
              <w:rPr>
                <w:rFonts w:ascii="Calibri" w:hAnsi="Calibri"/>
                <w:sz w:val="22"/>
                <w:szCs w:val="22"/>
              </w:rPr>
              <w:t>0.6%</w:t>
            </w:r>
          </w:p>
        </w:tc>
        <w:tc>
          <w:tcPr>
            <w:tcW w:w="506" w:type="pct"/>
            <w:vAlign w:val="center"/>
          </w:tcPr>
          <w:p w:rsidR="00B9790F" w:rsidRPr="00677EE2" w:rsidRDefault="002E29C1" w:rsidP="00B9790F">
            <w:pPr>
              <w:spacing w:after="0"/>
              <w:jc w:val="center"/>
              <w:rPr>
                <w:rFonts w:ascii="Calibri" w:hAnsi="Calibri"/>
                <w:sz w:val="22"/>
                <w:szCs w:val="22"/>
              </w:rPr>
            </w:pPr>
            <w:r w:rsidRPr="00677EE2">
              <w:rPr>
                <w:rFonts w:ascii="Calibri" w:hAnsi="Calibri"/>
                <w:sz w:val="22"/>
                <w:szCs w:val="22"/>
              </w:rPr>
              <w:t>0.4%</w:t>
            </w:r>
          </w:p>
        </w:tc>
      </w:tr>
      <w:tr w:rsidR="00040D04" w:rsidTr="00B9790F">
        <w:trPr>
          <w:trHeight w:val="510"/>
        </w:trPr>
        <w:tc>
          <w:tcPr>
            <w:tcW w:w="1964" w:type="pct"/>
            <w:shd w:val="clear" w:color="auto" w:fill="auto"/>
            <w:noWrap/>
            <w:vAlign w:val="bottom"/>
            <w:hideMark/>
          </w:tcPr>
          <w:p w:rsidR="00B9790F" w:rsidRPr="00B9790F" w:rsidRDefault="002E29C1" w:rsidP="00B9790F">
            <w:pPr>
              <w:autoSpaceDE/>
              <w:autoSpaceDN/>
              <w:adjustRightInd/>
              <w:spacing w:after="0"/>
              <w:jc w:val="left"/>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SOUTHPORT AND ORMSKIRK HOSPITAL NHS TRUST</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49</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7</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0</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56</w:t>
            </w:r>
          </w:p>
        </w:tc>
        <w:tc>
          <w:tcPr>
            <w:tcW w:w="506" w:type="pct"/>
            <w:vAlign w:val="center"/>
          </w:tcPr>
          <w:p w:rsidR="00B9790F" w:rsidRPr="00677EE2" w:rsidRDefault="002E29C1" w:rsidP="00B9790F">
            <w:pPr>
              <w:spacing w:after="0"/>
              <w:jc w:val="center"/>
              <w:rPr>
                <w:rFonts w:ascii="Calibri" w:hAnsi="Calibri"/>
                <w:sz w:val="22"/>
                <w:szCs w:val="22"/>
              </w:rPr>
            </w:pPr>
            <w:r w:rsidRPr="00677EE2">
              <w:rPr>
                <w:rFonts w:ascii="Calibri" w:hAnsi="Calibri"/>
                <w:sz w:val="22"/>
                <w:szCs w:val="22"/>
              </w:rPr>
              <w:t>0.6%</w:t>
            </w:r>
          </w:p>
        </w:tc>
        <w:tc>
          <w:tcPr>
            <w:tcW w:w="506" w:type="pct"/>
            <w:vAlign w:val="center"/>
          </w:tcPr>
          <w:p w:rsidR="00B9790F" w:rsidRPr="00677EE2" w:rsidRDefault="002E29C1" w:rsidP="00B9790F">
            <w:pPr>
              <w:spacing w:after="0"/>
              <w:jc w:val="center"/>
              <w:rPr>
                <w:rFonts w:ascii="Calibri" w:hAnsi="Calibri"/>
                <w:sz w:val="22"/>
                <w:szCs w:val="22"/>
              </w:rPr>
            </w:pPr>
            <w:r w:rsidRPr="00677EE2">
              <w:rPr>
                <w:rFonts w:ascii="Calibri" w:hAnsi="Calibri"/>
                <w:sz w:val="22"/>
                <w:szCs w:val="22"/>
              </w:rPr>
              <w:t>1.9%</w:t>
            </w:r>
          </w:p>
        </w:tc>
      </w:tr>
      <w:tr w:rsidR="00040D04" w:rsidTr="00B9790F">
        <w:trPr>
          <w:trHeight w:val="510"/>
        </w:trPr>
        <w:tc>
          <w:tcPr>
            <w:tcW w:w="1964" w:type="pct"/>
            <w:shd w:val="clear" w:color="auto" w:fill="auto"/>
            <w:noWrap/>
            <w:vAlign w:val="bottom"/>
            <w:hideMark/>
          </w:tcPr>
          <w:p w:rsidR="00B9790F" w:rsidRPr="00B9790F" w:rsidRDefault="002E29C1" w:rsidP="00B9790F">
            <w:pPr>
              <w:autoSpaceDE/>
              <w:autoSpaceDN/>
              <w:adjustRightInd/>
              <w:spacing w:after="0"/>
              <w:jc w:val="left"/>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THE NEWCASTLE UPON TYNE HOSPITALS NHS FOUNDATION TRUST</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13</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0</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0</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13</w:t>
            </w:r>
          </w:p>
        </w:tc>
        <w:tc>
          <w:tcPr>
            <w:tcW w:w="506" w:type="pct"/>
            <w:vAlign w:val="center"/>
          </w:tcPr>
          <w:p w:rsidR="00B9790F" w:rsidRPr="00677EE2" w:rsidRDefault="002E29C1" w:rsidP="00B9790F">
            <w:pPr>
              <w:spacing w:after="0"/>
              <w:jc w:val="center"/>
              <w:rPr>
                <w:rFonts w:ascii="Calibri" w:hAnsi="Calibri"/>
                <w:sz w:val="22"/>
                <w:szCs w:val="22"/>
              </w:rPr>
            </w:pPr>
            <w:r w:rsidRPr="00677EE2">
              <w:rPr>
                <w:rFonts w:ascii="Calibri" w:hAnsi="Calibri"/>
                <w:sz w:val="22"/>
                <w:szCs w:val="22"/>
              </w:rPr>
              <w:t>0.0%</w:t>
            </w:r>
          </w:p>
        </w:tc>
        <w:tc>
          <w:tcPr>
            <w:tcW w:w="506" w:type="pct"/>
            <w:vAlign w:val="center"/>
          </w:tcPr>
          <w:p w:rsidR="00B9790F" w:rsidRPr="00677EE2" w:rsidRDefault="002E29C1" w:rsidP="00B9790F">
            <w:pPr>
              <w:spacing w:after="0"/>
              <w:jc w:val="center"/>
              <w:rPr>
                <w:rFonts w:ascii="Calibri" w:hAnsi="Calibri"/>
                <w:sz w:val="22"/>
                <w:szCs w:val="22"/>
              </w:rPr>
            </w:pPr>
            <w:r w:rsidRPr="00677EE2">
              <w:rPr>
                <w:rFonts w:ascii="Calibri" w:hAnsi="Calibri"/>
                <w:sz w:val="22"/>
                <w:szCs w:val="22"/>
              </w:rPr>
              <w:t>0.4%</w:t>
            </w:r>
          </w:p>
        </w:tc>
      </w:tr>
      <w:tr w:rsidR="00040D04" w:rsidTr="00B9790F">
        <w:trPr>
          <w:trHeight w:val="510"/>
        </w:trPr>
        <w:tc>
          <w:tcPr>
            <w:tcW w:w="1964" w:type="pct"/>
            <w:shd w:val="clear" w:color="auto" w:fill="auto"/>
            <w:noWrap/>
            <w:vAlign w:val="bottom"/>
            <w:hideMark/>
          </w:tcPr>
          <w:p w:rsidR="00B9790F" w:rsidRPr="00B9790F" w:rsidRDefault="002E29C1" w:rsidP="00B9790F">
            <w:pPr>
              <w:autoSpaceDE/>
              <w:autoSpaceDN/>
              <w:adjustRightInd/>
              <w:spacing w:after="0"/>
              <w:jc w:val="left"/>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THE WALTON CENTRE NHS FOUNDATION TRUST</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17</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0</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0</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17</w:t>
            </w:r>
          </w:p>
        </w:tc>
        <w:tc>
          <w:tcPr>
            <w:tcW w:w="506" w:type="pct"/>
            <w:vAlign w:val="center"/>
          </w:tcPr>
          <w:p w:rsidR="00B9790F" w:rsidRPr="00677EE2" w:rsidRDefault="002E29C1" w:rsidP="00B9790F">
            <w:pPr>
              <w:spacing w:after="0"/>
              <w:jc w:val="center"/>
              <w:rPr>
                <w:rFonts w:ascii="Calibri" w:hAnsi="Calibri"/>
                <w:sz w:val="22"/>
                <w:szCs w:val="22"/>
              </w:rPr>
            </w:pPr>
            <w:r w:rsidRPr="00677EE2">
              <w:rPr>
                <w:rFonts w:ascii="Calibri" w:hAnsi="Calibri"/>
                <w:sz w:val="22"/>
                <w:szCs w:val="22"/>
              </w:rPr>
              <w:t>0.0%</w:t>
            </w:r>
          </w:p>
        </w:tc>
        <w:tc>
          <w:tcPr>
            <w:tcW w:w="506" w:type="pct"/>
            <w:vAlign w:val="center"/>
          </w:tcPr>
          <w:p w:rsidR="00B9790F" w:rsidRPr="00677EE2" w:rsidRDefault="002E29C1" w:rsidP="00B9790F">
            <w:pPr>
              <w:spacing w:after="0"/>
              <w:jc w:val="center"/>
              <w:rPr>
                <w:rFonts w:ascii="Calibri" w:hAnsi="Calibri"/>
                <w:sz w:val="22"/>
                <w:szCs w:val="22"/>
              </w:rPr>
            </w:pPr>
            <w:r w:rsidRPr="00677EE2">
              <w:rPr>
                <w:rFonts w:ascii="Calibri" w:hAnsi="Calibri"/>
                <w:sz w:val="22"/>
                <w:szCs w:val="22"/>
              </w:rPr>
              <w:t>0.6%</w:t>
            </w:r>
          </w:p>
        </w:tc>
      </w:tr>
      <w:tr w:rsidR="00040D04" w:rsidTr="00B9790F">
        <w:trPr>
          <w:trHeight w:val="510"/>
        </w:trPr>
        <w:tc>
          <w:tcPr>
            <w:tcW w:w="1964" w:type="pct"/>
            <w:shd w:val="clear" w:color="auto" w:fill="auto"/>
            <w:noWrap/>
            <w:vAlign w:val="bottom"/>
            <w:hideMark/>
          </w:tcPr>
          <w:p w:rsidR="00B9790F" w:rsidRPr="00B9790F" w:rsidRDefault="002E29C1" w:rsidP="00B9790F">
            <w:pPr>
              <w:autoSpaceDE/>
              <w:autoSpaceDN/>
              <w:adjustRightInd/>
              <w:spacing w:after="0"/>
              <w:jc w:val="left"/>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UNIVERSITY HOSPITALS OF MORECAMBE BAY NHS FOUNDATION TRUST</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220</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191</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0</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411</w:t>
            </w:r>
          </w:p>
        </w:tc>
        <w:tc>
          <w:tcPr>
            <w:tcW w:w="506" w:type="pct"/>
            <w:vAlign w:val="center"/>
          </w:tcPr>
          <w:p w:rsidR="00B9790F" w:rsidRPr="00677EE2" w:rsidRDefault="002E29C1" w:rsidP="00B9790F">
            <w:pPr>
              <w:spacing w:after="0"/>
              <w:jc w:val="center"/>
              <w:rPr>
                <w:rFonts w:ascii="Calibri" w:hAnsi="Calibri"/>
                <w:sz w:val="22"/>
                <w:szCs w:val="22"/>
              </w:rPr>
            </w:pPr>
            <w:r w:rsidRPr="00677EE2">
              <w:rPr>
                <w:rFonts w:ascii="Calibri" w:hAnsi="Calibri"/>
                <w:sz w:val="22"/>
                <w:szCs w:val="22"/>
              </w:rPr>
              <w:t>15.5%</w:t>
            </w:r>
          </w:p>
        </w:tc>
        <w:tc>
          <w:tcPr>
            <w:tcW w:w="506" w:type="pct"/>
            <w:vAlign w:val="center"/>
          </w:tcPr>
          <w:p w:rsidR="00B9790F" w:rsidRPr="00677EE2" w:rsidRDefault="002E29C1" w:rsidP="00B9790F">
            <w:pPr>
              <w:spacing w:after="0"/>
              <w:jc w:val="center"/>
              <w:rPr>
                <w:rFonts w:ascii="Calibri" w:hAnsi="Calibri"/>
                <w:sz w:val="22"/>
                <w:szCs w:val="22"/>
              </w:rPr>
            </w:pPr>
            <w:r w:rsidRPr="00677EE2">
              <w:rPr>
                <w:rFonts w:ascii="Calibri" w:hAnsi="Calibri"/>
                <w:sz w:val="22"/>
                <w:szCs w:val="22"/>
              </w:rPr>
              <w:t>13.8%</w:t>
            </w:r>
          </w:p>
        </w:tc>
      </w:tr>
      <w:tr w:rsidR="00040D04" w:rsidTr="00B9790F">
        <w:trPr>
          <w:trHeight w:val="510"/>
        </w:trPr>
        <w:tc>
          <w:tcPr>
            <w:tcW w:w="1964" w:type="pct"/>
            <w:shd w:val="clear" w:color="auto" w:fill="auto"/>
            <w:noWrap/>
            <w:vAlign w:val="bottom"/>
            <w:hideMark/>
          </w:tcPr>
          <w:p w:rsidR="00B9790F" w:rsidRPr="00B9790F" w:rsidRDefault="002E29C1" w:rsidP="00B9790F">
            <w:pPr>
              <w:autoSpaceDE/>
              <w:autoSpaceDN/>
              <w:adjustRightInd/>
              <w:spacing w:after="0"/>
              <w:jc w:val="left"/>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WRIGHTINGTON, WIGAN AND LEIGH NHS FOUNDATION TRUST</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3</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13</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0</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sz w:val="22"/>
                <w:szCs w:val="22"/>
                <w:lang w:eastAsia="en-GB"/>
              </w:rPr>
            </w:pPr>
            <w:r w:rsidRPr="00B9790F">
              <w:rPr>
                <w:rFonts w:ascii="Calibri" w:eastAsia="Times New Roman" w:hAnsi="Calibri" w:cs="Times New Roman"/>
                <w:sz w:val="22"/>
                <w:szCs w:val="22"/>
                <w:lang w:eastAsia="en-GB"/>
              </w:rPr>
              <w:t>16</w:t>
            </w:r>
          </w:p>
        </w:tc>
        <w:tc>
          <w:tcPr>
            <w:tcW w:w="506" w:type="pct"/>
            <w:vAlign w:val="center"/>
          </w:tcPr>
          <w:p w:rsidR="00B9790F" w:rsidRPr="00677EE2" w:rsidRDefault="002E29C1" w:rsidP="00B9790F">
            <w:pPr>
              <w:spacing w:after="0"/>
              <w:jc w:val="center"/>
              <w:rPr>
                <w:rFonts w:ascii="Calibri" w:hAnsi="Calibri"/>
                <w:sz w:val="22"/>
                <w:szCs w:val="22"/>
              </w:rPr>
            </w:pPr>
            <w:r w:rsidRPr="00677EE2">
              <w:rPr>
                <w:rFonts w:ascii="Calibri" w:hAnsi="Calibri"/>
                <w:sz w:val="22"/>
                <w:szCs w:val="22"/>
              </w:rPr>
              <w:t>1.1%</w:t>
            </w:r>
          </w:p>
        </w:tc>
        <w:tc>
          <w:tcPr>
            <w:tcW w:w="506" w:type="pct"/>
            <w:vAlign w:val="center"/>
          </w:tcPr>
          <w:p w:rsidR="00B9790F" w:rsidRPr="00677EE2" w:rsidRDefault="002E29C1" w:rsidP="00B9790F">
            <w:pPr>
              <w:spacing w:after="0"/>
              <w:jc w:val="center"/>
              <w:rPr>
                <w:rFonts w:ascii="Calibri" w:hAnsi="Calibri"/>
                <w:sz w:val="22"/>
                <w:szCs w:val="22"/>
              </w:rPr>
            </w:pPr>
            <w:r w:rsidRPr="00677EE2">
              <w:rPr>
                <w:rFonts w:ascii="Calibri" w:hAnsi="Calibri"/>
                <w:sz w:val="22"/>
                <w:szCs w:val="22"/>
              </w:rPr>
              <w:t>0.5%</w:t>
            </w:r>
          </w:p>
        </w:tc>
      </w:tr>
      <w:tr w:rsidR="00040D04" w:rsidTr="00B9790F">
        <w:trPr>
          <w:trHeight w:val="510"/>
        </w:trPr>
        <w:tc>
          <w:tcPr>
            <w:tcW w:w="1964" w:type="pct"/>
            <w:shd w:val="clear" w:color="auto" w:fill="auto"/>
            <w:noWrap/>
            <w:vAlign w:val="bottom"/>
            <w:hideMark/>
          </w:tcPr>
          <w:p w:rsidR="00B9790F" w:rsidRPr="00B9790F" w:rsidRDefault="002E29C1" w:rsidP="00B9790F">
            <w:pPr>
              <w:autoSpaceDE/>
              <w:autoSpaceDN/>
              <w:adjustRightInd/>
              <w:spacing w:after="0"/>
              <w:jc w:val="left"/>
              <w:rPr>
                <w:rFonts w:ascii="Calibri" w:eastAsia="Times New Roman" w:hAnsi="Calibri" w:cs="Times New Roman"/>
                <w:b/>
                <w:bCs/>
                <w:sz w:val="22"/>
                <w:szCs w:val="22"/>
                <w:lang w:eastAsia="en-GB"/>
              </w:rPr>
            </w:pPr>
            <w:r w:rsidRPr="00B9790F">
              <w:rPr>
                <w:rFonts w:ascii="Calibri" w:eastAsia="Times New Roman" w:hAnsi="Calibri" w:cs="Times New Roman"/>
                <w:b/>
                <w:bCs/>
                <w:sz w:val="22"/>
                <w:szCs w:val="22"/>
                <w:lang w:eastAsia="en-GB"/>
              </w:rPr>
              <w:t>Grand Total</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b/>
                <w:bCs/>
                <w:sz w:val="22"/>
                <w:szCs w:val="22"/>
                <w:lang w:eastAsia="en-GB"/>
              </w:rPr>
            </w:pPr>
            <w:r w:rsidRPr="00B9790F">
              <w:rPr>
                <w:rFonts w:ascii="Calibri" w:eastAsia="Times New Roman" w:hAnsi="Calibri" w:cs="Times New Roman"/>
                <w:b/>
                <w:bCs/>
                <w:sz w:val="22"/>
                <w:szCs w:val="22"/>
                <w:lang w:eastAsia="en-GB"/>
              </w:rPr>
              <w:t>1568</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b/>
                <w:bCs/>
                <w:sz w:val="22"/>
                <w:szCs w:val="22"/>
                <w:lang w:eastAsia="en-GB"/>
              </w:rPr>
            </w:pPr>
            <w:r w:rsidRPr="00B9790F">
              <w:rPr>
                <w:rFonts w:ascii="Calibri" w:eastAsia="Times New Roman" w:hAnsi="Calibri" w:cs="Times New Roman"/>
                <w:b/>
                <w:bCs/>
                <w:sz w:val="22"/>
                <w:szCs w:val="22"/>
                <w:lang w:eastAsia="en-GB"/>
              </w:rPr>
              <w:t>1232</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b/>
                <w:bCs/>
                <w:sz w:val="22"/>
                <w:szCs w:val="22"/>
                <w:lang w:eastAsia="en-GB"/>
              </w:rPr>
            </w:pPr>
            <w:r w:rsidRPr="00B9790F">
              <w:rPr>
                <w:rFonts w:ascii="Calibri" w:eastAsia="Times New Roman" w:hAnsi="Calibri" w:cs="Times New Roman"/>
                <w:b/>
                <w:bCs/>
                <w:sz w:val="22"/>
                <w:szCs w:val="22"/>
                <w:lang w:eastAsia="en-GB"/>
              </w:rPr>
              <w:t>184</w:t>
            </w:r>
          </w:p>
        </w:tc>
        <w:tc>
          <w:tcPr>
            <w:tcW w:w="506" w:type="pct"/>
            <w:shd w:val="clear" w:color="auto" w:fill="auto"/>
            <w:noWrap/>
            <w:vAlign w:val="center"/>
            <w:hideMark/>
          </w:tcPr>
          <w:p w:rsidR="00B9790F" w:rsidRPr="00B9790F" w:rsidRDefault="002E29C1" w:rsidP="00B9790F">
            <w:pPr>
              <w:autoSpaceDE/>
              <w:autoSpaceDN/>
              <w:adjustRightInd/>
              <w:spacing w:after="0"/>
              <w:jc w:val="center"/>
              <w:rPr>
                <w:rFonts w:ascii="Calibri" w:eastAsia="Times New Roman" w:hAnsi="Calibri" w:cs="Times New Roman"/>
                <w:b/>
                <w:bCs/>
                <w:sz w:val="22"/>
                <w:szCs w:val="22"/>
                <w:lang w:eastAsia="en-GB"/>
              </w:rPr>
            </w:pPr>
            <w:r w:rsidRPr="00B9790F">
              <w:rPr>
                <w:rFonts w:ascii="Calibri" w:eastAsia="Times New Roman" w:hAnsi="Calibri" w:cs="Times New Roman"/>
                <w:b/>
                <w:bCs/>
                <w:sz w:val="22"/>
                <w:szCs w:val="22"/>
                <w:lang w:eastAsia="en-GB"/>
              </w:rPr>
              <w:t>2984</w:t>
            </w:r>
          </w:p>
        </w:tc>
        <w:tc>
          <w:tcPr>
            <w:tcW w:w="506" w:type="pct"/>
            <w:vAlign w:val="center"/>
          </w:tcPr>
          <w:p w:rsidR="00B9790F" w:rsidRPr="00677EE2" w:rsidRDefault="002E29C1" w:rsidP="00B9790F">
            <w:pPr>
              <w:spacing w:after="0"/>
              <w:jc w:val="center"/>
              <w:rPr>
                <w:rFonts w:ascii="Calibri" w:hAnsi="Calibri"/>
                <w:b/>
                <w:bCs/>
                <w:sz w:val="22"/>
                <w:szCs w:val="22"/>
              </w:rPr>
            </w:pPr>
            <w:r w:rsidRPr="00677EE2">
              <w:rPr>
                <w:rFonts w:ascii="Calibri" w:hAnsi="Calibri"/>
                <w:b/>
                <w:bCs/>
                <w:sz w:val="22"/>
                <w:szCs w:val="22"/>
              </w:rPr>
              <w:t>100.0%</w:t>
            </w:r>
          </w:p>
        </w:tc>
        <w:tc>
          <w:tcPr>
            <w:tcW w:w="506" w:type="pct"/>
            <w:vAlign w:val="center"/>
          </w:tcPr>
          <w:p w:rsidR="00B9790F" w:rsidRPr="00677EE2" w:rsidRDefault="002E29C1" w:rsidP="00B9790F">
            <w:pPr>
              <w:spacing w:after="0"/>
              <w:jc w:val="center"/>
              <w:rPr>
                <w:rFonts w:ascii="Calibri" w:hAnsi="Calibri"/>
                <w:b/>
                <w:bCs/>
                <w:sz w:val="22"/>
                <w:szCs w:val="22"/>
              </w:rPr>
            </w:pPr>
            <w:r w:rsidRPr="00677EE2">
              <w:rPr>
                <w:rFonts w:ascii="Calibri" w:hAnsi="Calibri"/>
                <w:b/>
                <w:bCs/>
                <w:sz w:val="22"/>
                <w:szCs w:val="22"/>
              </w:rPr>
              <w:t>100.0%</w:t>
            </w:r>
          </w:p>
        </w:tc>
      </w:tr>
    </w:tbl>
    <w:p w:rsidR="00B9790F" w:rsidRPr="00677EE2" w:rsidRDefault="00AC7EBD" w:rsidP="00D20769">
      <w:pPr>
        <w:spacing w:after="0" w:line="259" w:lineRule="auto"/>
        <w:rPr>
          <w:rFonts w:cs="Arial"/>
        </w:rPr>
      </w:pPr>
    </w:p>
    <w:p w:rsidR="009C20A2" w:rsidRPr="00E5325C" w:rsidRDefault="002E29C1" w:rsidP="00AF599C">
      <w:pPr>
        <w:tabs>
          <w:tab w:val="left" w:pos="7371"/>
        </w:tabs>
        <w:spacing w:after="0" w:line="259" w:lineRule="auto"/>
        <w:rPr>
          <w:rFonts w:cs="Arial"/>
        </w:rPr>
      </w:pPr>
      <w:r w:rsidRPr="00677EE2">
        <w:rPr>
          <w:rFonts w:cs="Arial"/>
        </w:rPr>
        <w:lastRenderedPageBreak/>
        <w:t xml:space="preserve">In </w:t>
      </w:r>
      <w:r>
        <w:rPr>
          <w:rFonts w:cs="Arial"/>
        </w:rPr>
        <w:t>Aug</w:t>
      </w:r>
      <w:r w:rsidRPr="00677EE2">
        <w:rPr>
          <w:rFonts w:cs="Arial"/>
        </w:rPr>
        <w:t xml:space="preserve"> -18 the social care </w:t>
      </w:r>
      <w:r w:rsidRPr="00E5325C">
        <w:rPr>
          <w:rFonts w:cs="Arial"/>
        </w:rPr>
        <w:t>days exceeded NHS days for Lancashire Teaching Hospitals, though in East Lancashire and Morecambe Bay the NHS days exceeded social care days:</w:t>
      </w:r>
    </w:p>
    <w:p w:rsidR="00677EE2" w:rsidRPr="00E5325C" w:rsidRDefault="00AC7EBD" w:rsidP="00AF599C">
      <w:pPr>
        <w:tabs>
          <w:tab w:val="left" w:pos="7371"/>
        </w:tabs>
        <w:spacing w:after="0" w:line="259" w:lineRule="auto"/>
        <w:rPr>
          <w:rFonts w:cs="Arial"/>
        </w:rPr>
      </w:pPr>
    </w:p>
    <w:p w:rsidR="00677EE2" w:rsidRPr="00E5325C" w:rsidRDefault="002E29C1" w:rsidP="00AF599C">
      <w:pPr>
        <w:tabs>
          <w:tab w:val="left" w:pos="7371"/>
        </w:tabs>
        <w:spacing w:after="0" w:line="259" w:lineRule="auto"/>
        <w:rPr>
          <w:rFonts w:cs="Arial"/>
        </w:rPr>
      </w:pPr>
      <w:r w:rsidRPr="00E5325C">
        <w:rPr>
          <w:noProof/>
          <w:lang w:eastAsia="en-GB"/>
        </w:rPr>
        <w:drawing>
          <wp:inline distT="0" distB="0" distL="0" distR="0">
            <wp:extent cx="5727700" cy="3274828"/>
            <wp:effectExtent l="0" t="0" r="6350" b="190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339EC" w:rsidRPr="00E5325C" w:rsidRDefault="00AC7EBD" w:rsidP="00AF599C">
      <w:pPr>
        <w:tabs>
          <w:tab w:val="left" w:pos="7371"/>
        </w:tabs>
        <w:spacing w:after="0" w:line="259" w:lineRule="auto"/>
        <w:rPr>
          <w:rFonts w:cs="Arial"/>
        </w:rPr>
      </w:pPr>
    </w:p>
    <w:p w:rsidR="00AF599C" w:rsidRPr="00FC1106" w:rsidRDefault="002E29C1" w:rsidP="00AF599C">
      <w:pPr>
        <w:tabs>
          <w:tab w:val="left" w:pos="7371"/>
        </w:tabs>
        <w:spacing w:after="0" w:line="259" w:lineRule="auto"/>
        <w:rPr>
          <w:rFonts w:cs="Arial"/>
        </w:rPr>
      </w:pPr>
      <w:r w:rsidRPr="00E5325C">
        <w:rPr>
          <w:rFonts w:cs="Arial"/>
        </w:rPr>
        <w:t xml:space="preserve">Within </w:t>
      </w:r>
      <w:r w:rsidRPr="00FC1106">
        <w:rPr>
          <w:rFonts w:cs="Arial"/>
        </w:rPr>
        <w:t>the six main Lancashire providers Lancashire Teaching Hospitals still show an overall improvement since Apr-18, but social care days show an increase:</w:t>
      </w:r>
    </w:p>
    <w:p w:rsidR="00E5325C" w:rsidRPr="00FC1106" w:rsidRDefault="00AC7EBD" w:rsidP="00AF599C">
      <w:pPr>
        <w:tabs>
          <w:tab w:val="left" w:pos="7371"/>
        </w:tabs>
        <w:spacing w:after="0" w:line="259" w:lineRule="auto"/>
        <w:rPr>
          <w:rFonts w:cs="Arial"/>
        </w:rPr>
      </w:pPr>
    </w:p>
    <w:p w:rsidR="00E5325C" w:rsidRPr="00FC1106" w:rsidRDefault="002E29C1" w:rsidP="00AF599C">
      <w:pPr>
        <w:tabs>
          <w:tab w:val="left" w:pos="7371"/>
        </w:tabs>
        <w:spacing w:after="0" w:line="259" w:lineRule="auto"/>
        <w:rPr>
          <w:rFonts w:cs="Arial"/>
        </w:rPr>
      </w:pPr>
      <w:r w:rsidRPr="00FC1106">
        <w:rPr>
          <w:noProof/>
          <w:lang w:eastAsia="en-GB"/>
        </w:rPr>
        <w:drawing>
          <wp:inline distT="0" distB="0" distL="0" distR="0">
            <wp:extent cx="5727700" cy="3976577"/>
            <wp:effectExtent l="0" t="0" r="6350" b="508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20769" w:rsidRPr="00FC1106" w:rsidRDefault="002E29C1" w:rsidP="0069758B">
      <w:pPr>
        <w:pStyle w:val="Heading2"/>
      </w:pPr>
      <w:bookmarkStart w:id="15" w:name="_Toc520456208"/>
      <w:r w:rsidRPr="00FC1106">
        <w:lastRenderedPageBreak/>
        <w:t>Provider Detail – All Residents</w:t>
      </w:r>
      <w:bookmarkEnd w:id="15"/>
    </w:p>
    <w:p w:rsidR="00D20769" w:rsidRPr="00FC1106" w:rsidRDefault="002E29C1" w:rsidP="00D20769">
      <w:pPr>
        <w:spacing w:line="259" w:lineRule="auto"/>
        <w:rPr>
          <w:rFonts w:cs="Arial"/>
        </w:rPr>
      </w:pPr>
      <w:r w:rsidRPr="00FC1106">
        <w:rPr>
          <w:rFonts w:cs="Arial"/>
        </w:rPr>
        <w:t xml:space="preserve">Local authority analysis of the </w:t>
      </w:r>
      <w:r w:rsidRPr="00FC1106">
        <w:rPr>
          <w:rFonts w:cs="Arial"/>
          <w:b/>
        </w:rPr>
        <w:t>social care</w:t>
      </w:r>
      <w:r w:rsidRPr="00FC1106">
        <w:rPr>
          <w:rFonts w:cs="Arial"/>
        </w:rPr>
        <w:t xml:space="preserve"> delayed days in Aug-18 for the six main Lancashire providers illustrates the delayed days numbers and proportions incurred by Lancashire residents and also by those residents from other local authorities.</w:t>
      </w:r>
    </w:p>
    <w:p w:rsidR="003632B4" w:rsidRPr="00FC1106" w:rsidRDefault="002E29C1" w:rsidP="00D20769">
      <w:pPr>
        <w:spacing w:line="259" w:lineRule="auto"/>
        <w:rPr>
          <w:rFonts w:cs="Arial"/>
        </w:rPr>
      </w:pPr>
      <w:r w:rsidRPr="00FC1106">
        <w:rPr>
          <w:noProof/>
          <w:lang w:eastAsia="en-GB"/>
        </w:rPr>
        <w:drawing>
          <wp:inline distT="0" distB="0" distL="0" distR="0">
            <wp:extent cx="5727700" cy="3349256"/>
            <wp:effectExtent l="0" t="0" r="6350" b="381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20769" w:rsidRPr="00FC1106" w:rsidRDefault="002E29C1" w:rsidP="00D20769">
      <w:pPr>
        <w:spacing w:before="120" w:line="259" w:lineRule="auto"/>
        <w:rPr>
          <w:rFonts w:cs="Arial"/>
        </w:rPr>
      </w:pPr>
      <w:r w:rsidRPr="00FC1106">
        <w:rPr>
          <w:rFonts w:cs="Arial"/>
        </w:rPr>
        <w:t xml:space="preserve">Local authority analysis of the </w:t>
      </w:r>
      <w:r w:rsidRPr="00FC1106">
        <w:rPr>
          <w:rFonts w:cs="Arial"/>
          <w:b/>
        </w:rPr>
        <w:t xml:space="preserve">total </w:t>
      </w:r>
      <w:r w:rsidRPr="00FC1106">
        <w:rPr>
          <w:rFonts w:cs="Arial"/>
        </w:rPr>
        <w:t>delayed days in May-18 for the six main Lancashire providers illustrates the delayed days numbers and proportions incurred by Lancashire residents and also by those residents from other local authorities.</w:t>
      </w:r>
    </w:p>
    <w:p w:rsidR="00FC1106" w:rsidRPr="00FC1106" w:rsidRDefault="002E29C1" w:rsidP="00D20769">
      <w:pPr>
        <w:spacing w:before="120" w:line="259" w:lineRule="auto"/>
        <w:rPr>
          <w:rFonts w:cs="Arial"/>
        </w:rPr>
      </w:pPr>
      <w:r w:rsidRPr="00FC1106">
        <w:rPr>
          <w:noProof/>
          <w:lang w:eastAsia="en-GB"/>
        </w:rPr>
        <w:drawing>
          <wp:inline distT="0" distB="0" distL="0" distR="0">
            <wp:extent cx="5727700" cy="3348990"/>
            <wp:effectExtent l="0" t="0" r="6350" b="381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550CC" w:rsidRPr="00FC1106" w:rsidRDefault="00AC7EBD" w:rsidP="00D20769">
      <w:pPr>
        <w:spacing w:before="120" w:line="259" w:lineRule="auto"/>
        <w:rPr>
          <w:rFonts w:cs="Arial"/>
        </w:rPr>
      </w:pPr>
    </w:p>
    <w:p w:rsidR="009D07F9" w:rsidRPr="00FC1106" w:rsidRDefault="002E29C1" w:rsidP="00D20769">
      <w:pPr>
        <w:spacing w:after="0" w:line="259" w:lineRule="auto"/>
        <w:rPr>
          <w:rFonts w:cs="Arial"/>
          <w:b/>
        </w:rPr>
      </w:pPr>
      <w:r w:rsidRPr="00FC1106">
        <w:rPr>
          <w:rFonts w:cs="Arial"/>
          <w:b/>
        </w:rPr>
        <w:lastRenderedPageBreak/>
        <w:t>Aug-18 delayed days for the six main Lancashire providers by local authority of resident</w:t>
      </w:r>
    </w:p>
    <w:p w:rsidR="00F47AC6" w:rsidRPr="00FC1106" w:rsidRDefault="00AC7EBD" w:rsidP="00D20769">
      <w:pPr>
        <w:spacing w:after="0" w:line="259" w:lineRule="auto"/>
        <w:rPr>
          <w:rFonts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8"/>
        <w:gridCol w:w="1031"/>
        <w:gridCol w:w="1031"/>
        <w:gridCol w:w="1031"/>
        <w:gridCol w:w="1031"/>
        <w:gridCol w:w="1031"/>
        <w:gridCol w:w="1027"/>
      </w:tblGrid>
      <w:tr w:rsidR="00040D04" w:rsidTr="00F82B52">
        <w:trPr>
          <w:trHeight w:val="397"/>
        </w:trPr>
        <w:tc>
          <w:tcPr>
            <w:tcW w:w="1570" w:type="pct"/>
            <w:shd w:val="clear" w:color="4F81BD" w:fill="4F81BD"/>
            <w:noWrap/>
            <w:vAlign w:val="center"/>
            <w:hideMark/>
          </w:tcPr>
          <w:p w:rsidR="00F47AC6" w:rsidRPr="00FC1106" w:rsidRDefault="002E29C1" w:rsidP="00F47AC6">
            <w:pPr>
              <w:autoSpaceDE/>
              <w:autoSpaceDN/>
              <w:adjustRightInd/>
              <w:spacing w:after="0"/>
              <w:jc w:val="left"/>
              <w:rPr>
                <w:rFonts w:ascii="Calibri" w:eastAsia="Times New Roman" w:hAnsi="Calibri" w:cs="Times New Roman"/>
                <w:b/>
                <w:bCs/>
                <w:color w:val="FFFFFF"/>
                <w:sz w:val="22"/>
                <w:szCs w:val="22"/>
                <w:lang w:eastAsia="en-GB"/>
              </w:rPr>
            </w:pPr>
            <w:r w:rsidRPr="00FC1106">
              <w:rPr>
                <w:rFonts w:ascii="Calibri" w:eastAsia="Times New Roman" w:hAnsi="Calibri" w:cs="Times New Roman"/>
                <w:b/>
                <w:bCs/>
                <w:color w:val="FFFFFF"/>
                <w:szCs w:val="22"/>
                <w:lang w:eastAsia="en-GB"/>
              </w:rPr>
              <w:t>Aug-18 delayed days by provider and local authority of resident</w:t>
            </w:r>
          </w:p>
        </w:tc>
        <w:tc>
          <w:tcPr>
            <w:tcW w:w="572" w:type="pct"/>
            <w:shd w:val="clear" w:color="4F81BD" w:fill="4F81BD"/>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b/>
                <w:bCs/>
                <w:color w:val="FFFFFF"/>
                <w:sz w:val="22"/>
                <w:szCs w:val="22"/>
                <w:lang w:eastAsia="en-GB"/>
              </w:rPr>
            </w:pPr>
            <w:r w:rsidRPr="00FC1106">
              <w:rPr>
                <w:rFonts w:ascii="Calibri" w:eastAsia="Times New Roman" w:hAnsi="Calibri" w:cs="Times New Roman"/>
                <w:b/>
                <w:bCs/>
                <w:color w:val="FFFFFF"/>
                <w:sz w:val="22"/>
                <w:szCs w:val="22"/>
                <w:lang w:eastAsia="en-GB"/>
              </w:rPr>
              <w:t>Sum of NHS Days</w:t>
            </w:r>
          </w:p>
        </w:tc>
        <w:tc>
          <w:tcPr>
            <w:tcW w:w="572" w:type="pct"/>
            <w:shd w:val="clear" w:color="4F81BD" w:fill="4F81BD"/>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b/>
                <w:bCs/>
                <w:color w:val="FFFFFF"/>
                <w:sz w:val="22"/>
                <w:szCs w:val="22"/>
                <w:lang w:eastAsia="en-GB"/>
              </w:rPr>
            </w:pPr>
            <w:r w:rsidRPr="00FC1106">
              <w:rPr>
                <w:rFonts w:ascii="Calibri" w:eastAsia="Times New Roman" w:hAnsi="Calibri" w:cs="Times New Roman"/>
                <w:b/>
                <w:bCs/>
                <w:color w:val="FFFFFF"/>
                <w:sz w:val="22"/>
                <w:szCs w:val="22"/>
                <w:lang w:eastAsia="en-GB"/>
              </w:rPr>
              <w:t>Sum of Social Care Days</w:t>
            </w:r>
          </w:p>
        </w:tc>
        <w:tc>
          <w:tcPr>
            <w:tcW w:w="572" w:type="pct"/>
            <w:shd w:val="clear" w:color="4F81BD" w:fill="4F81BD"/>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b/>
                <w:bCs/>
                <w:color w:val="FFFFFF"/>
                <w:sz w:val="22"/>
                <w:szCs w:val="22"/>
                <w:lang w:eastAsia="en-GB"/>
              </w:rPr>
            </w:pPr>
            <w:r w:rsidRPr="00FC1106">
              <w:rPr>
                <w:rFonts w:ascii="Calibri" w:eastAsia="Times New Roman" w:hAnsi="Calibri" w:cs="Times New Roman"/>
                <w:b/>
                <w:bCs/>
                <w:color w:val="FFFFFF"/>
                <w:sz w:val="22"/>
                <w:szCs w:val="22"/>
                <w:lang w:eastAsia="en-GB"/>
              </w:rPr>
              <w:t>Sum of NHS and Social Care Days</w:t>
            </w:r>
          </w:p>
        </w:tc>
        <w:tc>
          <w:tcPr>
            <w:tcW w:w="572" w:type="pct"/>
            <w:shd w:val="clear" w:color="4F81BD" w:fill="4F81BD"/>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b/>
                <w:bCs/>
                <w:color w:val="FFFFFF"/>
                <w:sz w:val="22"/>
                <w:szCs w:val="22"/>
                <w:lang w:eastAsia="en-GB"/>
              </w:rPr>
            </w:pPr>
            <w:r w:rsidRPr="00FC1106">
              <w:rPr>
                <w:rFonts w:ascii="Calibri" w:eastAsia="Times New Roman" w:hAnsi="Calibri" w:cs="Times New Roman"/>
                <w:b/>
                <w:bCs/>
                <w:color w:val="FFFFFF"/>
                <w:sz w:val="22"/>
                <w:szCs w:val="22"/>
                <w:lang w:eastAsia="en-GB"/>
              </w:rPr>
              <w:t>Sum of Total Days</w:t>
            </w:r>
          </w:p>
        </w:tc>
        <w:tc>
          <w:tcPr>
            <w:tcW w:w="572" w:type="pct"/>
            <w:shd w:val="clear" w:color="4F81BD" w:fill="4F81BD"/>
            <w:vAlign w:val="center"/>
          </w:tcPr>
          <w:p w:rsidR="00F47AC6" w:rsidRPr="00FC1106" w:rsidRDefault="002E29C1" w:rsidP="00F47AC6">
            <w:pPr>
              <w:spacing w:after="0"/>
              <w:jc w:val="center"/>
              <w:rPr>
                <w:rFonts w:ascii="Calibri" w:eastAsia="Times New Roman" w:hAnsi="Calibri" w:cs="Times New Roman"/>
                <w:b/>
                <w:bCs/>
                <w:color w:val="FFFFFF"/>
                <w:sz w:val="22"/>
                <w:lang w:eastAsia="en-GB"/>
              </w:rPr>
            </w:pPr>
            <w:r w:rsidRPr="00FC1106">
              <w:rPr>
                <w:rFonts w:ascii="Calibri" w:eastAsia="Times New Roman" w:hAnsi="Calibri" w:cs="Times New Roman"/>
                <w:b/>
                <w:bCs/>
                <w:color w:val="FFFFFF"/>
                <w:sz w:val="22"/>
                <w:lang w:eastAsia="en-GB"/>
              </w:rPr>
              <w:t>LA % of Social Care Days</w:t>
            </w:r>
          </w:p>
        </w:tc>
        <w:tc>
          <w:tcPr>
            <w:tcW w:w="572" w:type="pct"/>
            <w:shd w:val="clear" w:color="4F81BD" w:fill="4F81BD"/>
            <w:vAlign w:val="center"/>
          </w:tcPr>
          <w:p w:rsidR="00F47AC6" w:rsidRPr="00FC1106" w:rsidRDefault="002E29C1" w:rsidP="00F47AC6">
            <w:pPr>
              <w:spacing w:after="0"/>
              <w:jc w:val="center"/>
              <w:rPr>
                <w:rFonts w:ascii="Calibri" w:eastAsia="Times New Roman" w:hAnsi="Calibri" w:cs="Times New Roman"/>
                <w:b/>
                <w:bCs/>
                <w:color w:val="FFFFFF"/>
                <w:sz w:val="22"/>
                <w:lang w:eastAsia="en-GB"/>
              </w:rPr>
            </w:pPr>
            <w:r w:rsidRPr="00FC1106">
              <w:rPr>
                <w:rFonts w:ascii="Calibri" w:eastAsia="Times New Roman" w:hAnsi="Calibri" w:cs="Times New Roman"/>
                <w:b/>
                <w:bCs/>
                <w:color w:val="FFFFFF"/>
                <w:sz w:val="22"/>
                <w:lang w:eastAsia="en-GB"/>
              </w:rPr>
              <w:t>LA % of Total Days</w:t>
            </w:r>
          </w:p>
        </w:tc>
      </w:tr>
      <w:tr w:rsidR="00040D04" w:rsidTr="00CE043B">
        <w:trPr>
          <w:trHeight w:val="397"/>
        </w:trPr>
        <w:tc>
          <w:tcPr>
            <w:tcW w:w="1570" w:type="pct"/>
            <w:shd w:val="clear" w:color="DCE6F1" w:fill="DCE6F1"/>
            <w:noWrap/>
            <w:vAlign w:val="center"/>
            <w:hideMark/>
          </w:tcPr>
          <w:p w:rsidR="00F47AC6" w:rsidRPr="00FC1106" w:rsidRDefault="002E29C1" w:rsidP="00CE043B">
            <w:pPr>
              <w:autoSpaceDE/>
              <w:autoSpaceDN/>
              <w:adjustRightInd/>
              <w:spacing w:after="0"/>
              <w:jc w:val="left"/>
              <w:rPr>
                <w:rFonts w:ascii="Calibri" w:eastAsia="Times New Roman" w:hAnsi="Calibri" w:cs="Times New Roman"/>
                <w:b/>
                <w:bCs/>
                <w:sz w:val="22"/>
                <w:szCs w:val="22"/>
                <w:lang w:eastAsia="en-GB"/>
              </w:rPr>
            </w:pPr>
            <w:r w:rsidRPr="00FC1106">
              <w:rPr>
                <w:rFonts w:ascii="Calibri" w:eastAsia="Times New Roman" w:hAnsi="Calibri" w:cs="Times New Roman"/>
                <w:b/>
                <w:bCs/>
                <w:sz w:val="22"/>
                <w:szCs w:val="22"/>
                <w:lang w:eastAsia="en-GB"/>
              </w:rPr>
              <w:t>BLACKPOOL TEACHING HOSPITALS NHS FOUNDATION TRUST</w:t>
            </w:r>
          </w:p>
        </w:tc>
        <w:tc>
          <w:tcPr>
            <w:tcW w:w="572" w:type="pct"/>
            <w:shd w:val="clear" w:color="DCE6F1" w:fill="DCE6F1"/>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b/>
                <w:bCs/>
                <w:sz w:val="22"/>
                <w:szCs w:val="22"/>
                <w:lang w:eastAsia="en-GB"/>
              </w:rPr>
            </w:pPr>
            <w:r w:rsidRPr="00FC1106">
              <w:rPr>
                <w:rFonts w:ascii="Calibri" w:eastAsia="Times New Roman" w:hAnsi="Calibri" w:cs="Times New Roman"/>
                <w:b/>
                <w:bCs/>
                <w:sz w:val="22"/>
                <w:szCs w:val="22"/>
                <w:lang w:eastAsia="en-GB"/>
              </w:rPr>
              <w:t>293</w:t>
            </w:r>
          </w:p>
        </w:tc>
        <w:tc>
          <w:tcPr>
            <w:tcW w:w="572" w:type="pct"/>
            <w:shd w:val="clear" w:color="DCE6F1" w:fill="DCE6F1"/>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b/>
                <w:bCs/>
                <w:sz w:val="22"/>
                <w:szCs w:val="22"/>
                <w:lang w:eastAsia="en-GB"/>
              </w:rPr>
            </w:pPr>
            <w:r w:rsidRPr="00FC1106">
              <w:rPr>
                <w:rFonts w:ascii="Calibri" w:eastAsia="Times New Roman" w:hAnsi="Calibri" w:cs="Times New Roman"/>
                <w:b/>
                <w:bCs/>
                <w:sz w:val="22"/>
                <w:szCs w:val="22"/>
                <w:lang w:eastAsia="en-GB"/>
              </w:rPr>
              <w:t>318</w:t>
            </w:r>
          </w:p>
        </w:tc>
        <w:tc>
          <w:tcPr>
            <w:tcW w:w="572" w:type="pct"/>
            <w:shd w:val="clear" w:color="DCE6F1" w:fill="DCE6F1"/>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b/>
                <w:bCs/>
                <w:sz w:val="22"/>
                <w:szCs w:val="22"/>
                <w:lang w:eastAsia="en-GB"/>
              </w:rPr>
            </w:pPr>
            <w:r w:rsidRPr="00FC1106">
              <w:rPr>
                <w:rFonts w:ascii="Calibri" w:eastAsia="Times New Roman" w:hAnsi="Calibri" w:cs="Times New Roman"/>
                <w:b/>
                <w:bCs/>
                <w:sz w:val="22"/>
                <w:szCs w:val="22"/>
                <w:lang w:eastAsia="en-GB"/>
              </w:rPr>
              <w:t>99</w:t>
            </w:r>
          </w:p>
        </w:tc>
        <w:tc>
          <w:tcPr>
            <w:tcW w:w="572" w:type="pct"/>
            <w:shd w:val="clear" w:color="DCE6F1" w:fill="DCE6F1"/>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b/>
                <w:bCs/>
                <w:sz w:val="22"/>
                <w:szCs w:val="22"/>
                <w:lang w:eastAsia="en-GB"/>
              </w:rPr>
            </w:pPr>
            <w:r w:rsidRPr="00FC1106">
              <w:rPr>
                <w:rFonts w:ascii="Calibri" w:eastAsia="Times New Roman" w:hAnsi="Calibri" w:cs="Times New Roman"/>
                <w:b/>
                <w:bCs/>
                <w:sz w:val="22"/>
                <w:szCs w:val="22"/>
                <w:lang w:eastAsia="en-GB"/>
              </w:rPr>
              <w:t>710</w:t>
            </w:r>
          </w:p>
        </w:tc>
        <w:tc>
          <w:tcPr>
            <w:tcW w:w="572" w:type="pct"/>
            <w:shd w:val="clear" w:color="DCE6F1" w:fill="DCE6F1"/>
            <w:vAlign w:val="center"/>
          </w:tcPr>
          <w:p w:rsidR="00F47AC6" w:rsidRPr="00FC1106" w:rsidRDefault="002E29C1" w:rsidP="00F47AC6">
            <w:pPr>
              <w:autoSpaceDE/>
              <w:autoSpaceDN/>
              <w:adjustRightInd/>
              <w:spacing w:after="0"/>
              <w:jc w:val="center"/>
              <w:rPr>
                <w:rFonts w:ascii="Calibri" w:eastAsia="Times New Roman" w:hAnsi="Calibri" w:cs="Times New Roman"/>
                <w:b/>
                <w:bCs/>
                <w:sz w:val="22"/>
                <w:szCs w:val="22"/>
                <w:lang w:eastAsia="en-GB"/>
              </w:rPr>
            </w:pPr>
            <w:r w:rsidRPr="00FC1106">
              <w:rPr>
                <w:rFonts w:ascii="Calibri" w:hAnsi="Calibri"/>
                <w:b/>
                <w:bCs/>
                <w:sz w:val="22"/>
                <w:szCs w:val="22"/>
              </w:rPr>
              <w:t>16.5%</w:t>
            </w:r>
          </w:p>
        </w:tc>
        <w:tc>
          <w:tcPr>
            <w:tcW w:w="572" w:type="pct"/>
            <w:shd w:val="clear" w:color="DCE6F1" w:fill="DCE6F1"/>
            <w:vAlign w:val="center"/>
          </w:tcPr>
          <w:p w:rsidR="00F47AC6" w:rsidRPr="00FC1106" w:rsidRDefault="002E29C1" w:rsidP="00F47AC6">
            <w:pPr>
              <w:autoSpaceDE/>
              <w:autoSpaceDN/>
              <w:adjustRightInd/>
              <w:spacing w:after="0"/>
              <w:jc w:val="center"/>
              <w:rPr>
                <w:rFonts w:ascii="Calibri" w:eastAsia="Times New Roman" w:hAnsi="Calibri" w:cs="Times New Roman"/>
                <w:b/>
                <w:bCs/>
                <w:sz w:val="22"/>
                <w:szCs w:val="22"/>
                <w:lang w:eastAsia="en-GB"/>
              </w:rPr>
            </w:pPr>
            <w:r w:rsidRPr="00FC1106">
              <w:rPr>
                <w:rFonts w:ascii="Calibri" w:hAnsi="Calibri"/>
                <w:b/>
                <w:bCs/>
                <w:sz w:val="22"/>
                <w:szCs w:val="22"/>
              </w:rPr>
              <w:t>17.4%</w:t>
            </w:r>
          </w:p>
        </w:tc>
      </w:tr>
      <w:tr w:rsidR="00040D04" w:rsidTr="00CE043B">
        <w:trPr>
          <w:trHeight w:val="397"/>
        </w:trPr>
        <w:tc>
          <w:tcPr>
            <w:tcW w:w="1570" w:type="pct"/>
            <w:shd w:val="clear" w:color="auto" w:fill="auto"/>
            <w:noWrap/>
            <w:vAlign w:val="center"/>
            <w:hideMark/>
          </w:tcPr>
          <w:p w:rsidR="00F47AC6" w:rsidRPr="00FC1106" w:rsidRDefault="002E29C1" w:rsidP="00CE043B">
            <w:pPr>
              <w:autoSpaceDE/>
              <w:autoSpaceDN/>
              <w:adjustRightInd/>
              <w:spacing w:after="0"/>
              <w:ind w:firstLineChars="100" w:firstLine="220"/>
              <w:jc w:val="left"/>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BLACKPOOL UA</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115</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143</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81</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339</w:t>
            </w:r>
          </w:p>
        </w:tc>
        <w:tc>
          <w:tcPr>
            <w:tcW w:w="572" w:type="pct"/>
            <w:vAlign w:val="center"/>
          </w:tcPr>
          <w:p w:rsidR="00F47AC6" w:rsidRPr="00FC1106" w:rsidRDefault="002E29C1" w:rsidP="00F47AC6">
            <w:pPr>
              <w:spacing w:after="0"/>
              <w:jc w:val="center"/>
              <w:rPr>
                <w:rFonts w:ascii="Calibri" w:hAnsi="Calibri"/>
                <w:sz w:val="22"/>
                <w:szCs w:val="22"/>
              </w:rPr>
            </w:pPr>
            <w:r w:rsidRPr="00FC1106">
              <w:rPr>
                <w:rFonts w:ascii="Calibri" w:hAnsi="Calibri"/>
                <w:sz w:val="22"/>
                <w:szCs w:val="22"/>
              </w:rPr>
              <w:t>45.0%</w:t>
            </w:r>
          </w:p>
        </w:tc>
        <w:tc>
          <w:tcPr>
            <w:tcW w:w="572" w:type="pct"/>
            <w:vAlign w:val="center"/>
          </w:tcPr>
          <w:p w:rsidR="00F47AC6" w:rsidRPr="00FC1106" w:rsidRDefault="002E29C1" w:rsidP="00F47AC6">
            <w:pPr>
              <w:spacing w:after="0"/>
              <w:jc w:val="center"/>
              <w:rPr>
                <w:rFonts w:ascii="Calibri" w:hAnsi="Calibri"/>
                <w:sz w:val="22"/>
                <w:szCs w:val="22"/>
              </w:rPr>
            </w:pPr>
            <w:r w:rsidRPr="00FC1106">
              <w:rPr>
                <w:rFonts w:ascii="Calibri" w:hAnsi="Calibri"/>
                <w:sz w:val="22"/>
                <w:szCs w:val="22"/>
              </w:rPr>
              <w:t>47.7%</w:t>
            </w:r>
          </w:p>
        </w:tc>
      </w:tr>
      <w:tr w:rsidR="00040D04" w:rsidTr="00CE043B">
        <w:trPr>
          <w:trHeight w:val="397"/>
        </w:trPr>
        <w:tc>
          <w:tcPr>
            <w:tcW w:w="1570" w:type="pct"/>
            <w:shd w:val="clear" w:color="auto" w:fill="auto"/>
            <w:noWrap/>
            <w:vAlign w:val="center"/>
            <w:hideMark/>
          </w:tcPr>
          <w:p w:rsidR="00F47AC6" w:rsidRPr="00FC1106" w:rsidRDefault="002E29C1" w:rsidP="00CE043B">
            <w:pPr>
              <w:autoSpaceDE/>
              <w:autoSpaceDN/>
              <w:adjustRightInd/>
              <w:spacing w:after="0"/>
              <w:ind w:firstLineChars="100" w:firstLine="220"/>
              <w:jc w:val="left"/>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LANCASHIRE</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178</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175</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18</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371</w:t>
            </w:r>
          </w:p>
        </w:tc>
        <w:tc>
          <w:tcPr>
            <w:tcW w:w="572" w:type="pct"/>
            <w:vAlign w:val="center"/>
          </w:tcPr>
          <w:p w:rsidR="00F47AC6" w:rsidRPr="00FC1106" w:rsidRDefault="002E29C1" w:rsidP="00F47AC6">
            <w:pPr>
              <w:spacing w:after="0"/>
              <w:jc w:val="center"/>
              <w:rPr>
                <w:rFonts w:ascii="Calibri" w:hAnsi="Calibri"/>
                <w:sz w:val="22"/>
                <w:szCs w:val="22"/>
              </w:rPr>
            </w:pPr>
            <w:r w:rsidRPr="00FC1106">
              <w:rPr>
                <w:rFonts w:ascii="Calibri" w:hAnsi="Calibri"/>
                <w:sz w:val="22"/>
                <w:szCs w:val="22"/>
              </w:rPr>
              <w:t>55.0%</w:t>
            </w:r>
          </w:p>
        </w:tc>
        <w:tc>
          <w:tcPr>
            <w:tcW w:w="572" w:type="pct"/>
            <w:vAlign w:val="center"/>
          </w:tcPr>
          <w:p w:rsidR="00F47AC6" w:rsidRPr="00FC1106" w:rsidRDefault="002E29C1" w:rsidP="00F47AC6">
            <w:pPr>
              <w:spacing w:after="0"/>
              <w:jc w:val="center"/>
              <w:rPr>
                <w:rFonts w:ascii="Calibri" w:hAnsi="Calibri"/>
                <w:sz w:val="22"/>
                <w:szCs w:val="22"/>
              </w:rPr>
            </w:pPr>
            <w:r w:rsidRPr="00FC1106">
              <w:rPr>
                <w:rFonts w:ascii="Calibri" w:hAnsi="Calibri"/>
                <w:sz w:val="22"/>
                <w:szCs w:val="22"/>
              </w:rPr>
              <w:t>52.3%</w:t>
            </w:r>
          </w:p>
        </w:tc>
      </w:tr>
      <w:tr w:rsidR="00040D04" w:rsidTr="00CE043B">
        <w:trPr>
          <w:trHeight w:val="397"/>
        </w:trPr>
        <w:tc>
          <w:tcPr>
            <w:tcW w:w="1570" w:type="pct"/>
            <w:shd w:val="clear" w:color="DCE6F1" w:fill="DCE6F1"/>
            <w:noWrap/>
            <w:vAlign w:val="center"/>
            <w:hideMark/>
          </w:tcPr>
          <w:p w:rsidR="00F47AC6" w:rsidRPr="00FC1106" w:rsidRDefault="002E29C1" w:rsidP="00CE043B">
            <w:pPr>
              <w:autoSpaceDE/>
              <w:autoSpaceDN/>
              <w:adjustRightInd/>
              <w:spacing w:after="0"/>
              <w:jc w:val="left"/>
              <w:rPr>
                <w:rFonts w:ascii="Calibri" w:eastAsia="Times New Roman" w:hAnsi="Calibri" w:cs="Times New Roman"/>
                <w:b/>
                <w:bCs/>
                <w:sz w:val="22"/>
                <w:szCs w:val="22"/>
                <w:lang w:eastAsia="en-GB"/>
              </w:rPr>
            </w:pPr>
            <w:r w:rsidRPr="00FC1106">
              <w:rPr>
                <w:rFonts w:ascii="Calibri" w:eastAsia="Times New Roman" w:hAnsi="Calibri" w:cs="Times New Roman"/>
                <w:b/>
                <w:bCs/>
                <w:sz w:val="22"/>
                <w:szCs w:val="22"/>
                <w:lang w:eastAsia="en-GB"/>
              </w:rPr>
              <w:t>EAST LANCASHIRE HOSPITALS NHS TRUST</w:t>
            </w:r>
          </w:p>
        </w:tc>
        <w:tc>
          <w:tcPr>
            <w:tcW w:w="572" w:type="pct"/>
            <w:shd w:val="clear" w:color="DCE6F1" w:fill="DCE6F1"/>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b/>
                <w:bCs/>
                <w:sz w:val="22"/>
                <w:szCs w:val="22"/>
                <w:lang w:eastAsia="en-GB"/>
              </w:rPr>
            </w:pPr>
            <w:r w:rsidRPr="00FC1106">
              <w:rPr>
                <w:rFonts w:ascii="Calibri" w:eastAsia="Times New Roman" w:hAnsi="Calibri" w:cs="Times New Roman"/>
                <w:b/>
                <w:bCs/>
                <w:sz w:val="22"/>
                <w:szCs w:val="22"/>
                <w:lang w:eastAsia="en-GB"/>
              </w:rPr>
              <w:t>542</w:t>
            </w:r>
          </w:p>
        </w:tc>
        <w:tc>
          <w:tcPr>
            <w:tcW w:w="572" w:type="pct"/>
            <w:shd w:val="clear" w:color="DCE6F1" w:fill="DCE6F1"/>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b/>
                <w:bCs/>
                <w:sz w:val="22"/>
                <w:szCs w:val="22"/>
                <w:lang w:eastAsia="en-GB"/>
              </w:rPr>
            </w:pPr>
            <w:r w:rsidRPr="00FC1106">
              <w:rPr>
                <w:rFonts w:ascii="Calibri" w:eastAsia="Times New Roman" w:hAnsi="Calibri" w:cs="Times New Roman"/>
                <w:b/>
                <w:bCs/>
                <w:sz w:val="22"/>
                <w:szCs w:val="22"/>
                <w:lang w:eastAsia="en-GB"/>
              </w:rPr>
              <w:t>380</w:t>
            </w:r>
          </w:p>
        </w:tc>
        <w:tc>
          <w:tcPr>
            <w:tcW w:w="572" w:type="pct"/>
            <w:shd w:val="clear" w:color="DCE6F1" w:fill="DCE6F1"/>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b/>
                <w:bCs/>
                <w:sz w:val="22"/>
                <w:szCs w:val="22"/>
                <w:lang w:eastAsia="en-GB"/>
              </w:rPr>
            </w:pPr>
            <w:r w:rsidRPr="00FC1106">
              <w:rPr>
                <w:rFonts w:ascii="Calibri" w:eastAsia="Times New Roman" w:hAnsi="Calibri" w:cs="Times New Roman"/>
                <w:b/>
                <w:bCs/>
                <w:sz w:val="22"/>
                <w:szCs w:val="22"/>
                <w:lang w:eastAsia="en-GB"/>
              </w:rPr>
              <w:t>2</w:t>
            </w:r>
          </w:p>
        </w:tc>
        <w:tc>
          <w:tcPr>
            <w:tcW w:w="572" w:type="pct"/>
            <w:shd w:val="clear" w:color="DCE6F1" w:fill="DCE6F1"/>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b/>
                <w:bCs/>
                <w:sz w:val="22"/>
                <w:szCs w:val="22"/>
                <w:lang w:eastAsia="en-GB"/>
              </w:rPr>
            </w:pPr>
            <w:r w:rsidRPr="00FC1106">
              <w:rPr>
                <w:rFonts w:ascii="Calibri" w:eastAsia="Times New Roman" w:hAnsi="Calibri" w:cs="Times New Roman"/>
                <w:b/>
                <w:bCs/>
                <w:sz w:val="22"/>
                <w:szCs w:val="22"/>
                <w:lang w:eastAsia="en-GB"/>
              </w:rPr>
              <w:t>924</w:t>
            </w:r>
          </w:p>
        </w:tc>
        <w:tc>
          <w:tcPr>
            <w:tcW w:w="572" w:type="pct"/>
            <w:shd w:val="clear" w:color="DCE6F1" w:fill="DCE6F1"/>
            <w:vAlign w:val="center"/>
          </w:tcPr>
          <w:p w:rsidR="00F47AC6" w:rsidRPr="00FC1106" w:rsidRDefault="002E29C1" w:rsidP="00F47AC6">
            <w:pPr>
              <w:spacing w:after="0"/>
              <w:jc w:val="center"/>
              <w:rPr>
                <w:rFonts w:ascii="Calibri" w:hAnsi="Calibri"/>
                <w:b/>
                <w:bCs/>
                <w:sz w:val="22"/>
                <w:szCs w:val="22"/>
              </w:rPr>
            </w:pPr>
            <w:r w:rsidRPr="00FC1106">
              <w:rPr>
                <w:rFonts w:ascii="Calibri" w:hAnsi="Calibri"/>
                <w:b/>
                <w:bCs/>
                <w:sz w:val="22"/>
                <w:szCs w:val="22"/>
              </w:rPr>
              <w:t>19.7%</w:t>
            </w:r>
          </w:p>
        </w:tc>
        <w:tc>
          <w:tcPr>
            <w:tcW w:w="572" w:type="pct"/>
            <w:shd w:val="clear" w:color="DCE6F1" w:fill="DCE6F1"/>
            <w:vAlign w:val="center"/>
          </w:tcPr>
          <w:p w:rsidR="00F47AC6" w:rsidRPr="00FC1106" w:rsidRDefault="002E29C1" w:rsidP="00F47AC6">
            <w:pPr>
              <w:spacing w:after="0"/>
              <w:jc w:val="center"/>
              <w:rPr>
                <w:rFonts w:ascii="Calibri" w:hAnsi="Calibri"/>
                <w:b/>
                <w:bCs/>
                <w:sz w:val="22"/>
                <w:szCs w:val="22"/>
              </w:rPr>
            </w:pPr>
            <w:r w:rsidRPr="00FC1106">
              <w:rPr>
                <w:rFonts w:ascii="Calibri" w:hAnsi="Calibri"/>
                <w:b/>
                <w:bCs/>
                <w:sz w:val="22"/>
                <w:szCs w:val="22"/>
              </w:rPr>
              <w:t>22.6%</w:t>
            </w:r>
          </w:p>
        </w:tc>
      </w:tr>
      <w:tr w:rsidR="00040D04" w:rsidTr="00CE043B">
        <w:trPr>
          <w:trHeight w:val="397"/>
        </w:trPr>
        <w:tc>
          <w:tcPr>
            <w:tcW w:w="1570" w:type="pct"/>
            <w:shd w:val="clear" w:color="auto" w:fill="auto"/>
            <w:noWrap/>
            <w:vAlign w:val="center"/>
            <w:hideMark/>
          </w:tcPr>
          <w:p w:rsidR="00F47AC6" w:rsidRPr="00FC1106" w:rsidRDefault="002E29C1" w:rsidP="00CE043B">
            <w:pPr>
              <w:autoSpaceDE/>
              <w:autoSpaceDN/>
              <w:adjustRightInd/>
              <w:spacing w:after="0"/>
              <w:ind w:firstLineChars="100" w:firstLine="220"/>
              <w:jc w:val="left"/>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BLACKBURN WITH DARWEN UA</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123</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250</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0</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373</w:t>
            </w:r>
          </w:p>
        </w:tc>
        <w:tc>
          <w:tcPr>
            <w:tcW w:w="572" w:type="pct"/>
            <w:vAlign w:val="center"/>
          </w:tcPr>
          <w:p w:rsidR="00F47AC6" w:rsidRPr="00FC1106" w:rsidRDefault="002E29C1" w:rsidP="00F47AC6">
            <w:pPr>
              <w:spacing w:after="0"/>
              <w:jc w:val="center"/>
              <w:rPr>
                <w:rFonts w:ascii="Calibri" w:hAnsi="Calibri"/>
                <w:sz w:val="22"/>
                <w:szCs w:val="22"/>
              </w:rPr>
            </w:pPr>
            <w:r w:rsidRPr="00FC1106">
              <w:rPr>
                <w:rFonts w:ascii="Calibri" w:hAnsi="Calibri"/>
                <w:sz w:val="22"/>
                <w:szCs w:val="22"/>
              </w:rPr>
              <w:t>65.8%</w:t>
            </w:r>
          </w:p>
        </w:tc>
        <w:tc>
          <w:tcPr>
            <w:tcW w:w="572" w:type="pct"/>
            <w:vAlign w:val="center"/>
          </w:tcPr>
          <w:p w:rsidR="00F47AC6" w:rsidRPr="00FC1106" w:rsidRDefault="002E29C1" w:rsidP="00F47AC6">
            <w:pPr>
              <w:spacing w:after="0"/>
              <w:jc w:val="center"/>
              <w:rPr>
                <w:rFonts w:ascii="Calibri" w:hAnsi="Calibri"/>
                <w:sz w:val="22"/>
                <w:szCs w:val="22"/>
              </w:rPr>
            </w:pPr>
            <w:r w:rsidRPr="00FC1106">
              <w:rPr>
                <w:rFonts w:ascii="Calibri" w:hAnsi="Calibri"/>
                <w:sz w:val="22"/>
                <w:szCs w:val="22"/>
              </w:rPr>
              <w:t>40.4%</w:t>
            </w:r>
          </w:p>
        </w:tc>
      </w:tr>
      <w:tr w:rsidR="00040D04" w:rsidTr="00CE043B">
        <w:trPr>
          <w:trHeight w:val="397"/>
        </w:trPr>
        <w:tc>
          <w:tcPr>
            <w:tcW w:w="1570" w:type="pct"/>
            <w:shd w:val="clear" w:color="auto" w:fill="auto"/>
            <w:noWrap/>
            <w:vAlign w:val="center"/>
            <w:hideMark/>
          </w:tcPr>
          <w:p w:rsidR="00F47AC6" w:rsidRPr="00FC1106" w:rsidRDefault="002E29C1" w:rsidP="00CE043B">
            <w:pPr>
              <w:autoSpaceDE/>
              <w:autoSpaceDN/>
              <w:adjustRightInd/>
              <w:spacing w:after="0"/>
              <w:ind w:firstLineChars="100" w:firstLine="220"/>
              <w:jc w:val="left"/>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LANCASHIRE</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419</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130</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2</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551</w:t>
            </w:r>
          </w:p>
        </w:tc>
        <w:tc>
          <w:tcPr>
            <w:tcW w:w="572" w:type="pct"/>
            <w:vAlign w:val="center"/>
          </w:tcPr>
          <w:p w:rsidR="00F47AC6" w:rsidRPr="00FC1106" w:rsidRDefault="002E29C1" w:rsidP="00F47AC6">
            <w:pPr>
              <w:spacing w:after="0"/>
              <w:jc w:val="center"/>
              <w:rPr>
                <w:rFonts w:ascii="Calibri" w:hAnsi="Calibri"/>
                <w:sz w:val="22"/>
                <w:szCs w:val="22"/>
              </w:rPr>
            </w:pPr>
            <w:r w:rsidRPr="00FC1106">
              <w:rPr>
                <w:rFonts w:ascii="Calibri" w:hAnsi="Calibri"/>
                <w:sz w:val="22"/>
                <w:szCs w:val="22"/>
              </w:rPr>
              <w:t>34.2%</w:t>
            </w:r>
          </w:p>
        </w:tc>
        <w:tc>
          <w:tcPr>
            <w:tcW w:w="572" w:type="pct"/>
            <w:vAlign w:val="center"/>
          </w:tcPr>
          <w:p w:rsidR="00F47AC6" w:rsidRPr="00FC1106" w:rsidRDefault="002E29C1" w:rsidP="00F47AC6">
            <w:pPr>
              <w:spacing w:after="0"/>
              <w:jc w:val="center"/>
              <w:rPr>
                <w:rFonts w:ascii="Calibri" w:hAnsi="Calibri"/>
                <w:sz w:val="22"/>
                <w:szCs w:val="22"/>
              </w:rPr>
            </w:pPr>
            <w:r w:rsidRPr="00FC1106">
              <w:rPr>
                <w:rFonts w:ascii="Calibri" w:hAnsi="Calibri"/>
                <w:sz w:val="22"/>
                <w:szCs w:val="22"/>
              </w:rPr>
              <w:t>59.6%</w:t>
            </w:r>
          </w:p>
        </w:tc>
      </w:tr>
      <w:tr w:rsidR="00040D04" w:rsidTr="00CE043B">
        <w:trPr>
          <w:trHeight w:val="397"/>
        </w:trPr>
        <w:tc>
          <w:tcPr>
            <w:tcW w:w="1570" w:type="pct"/>
            <w:shd w:val="clear" w:color="DCE6F1" w:fill="DCE6F1"/>
            <w:noWrap/>
            <w:vAlign w:val="center"/>
            <w:hideMark/>
          </w:tcPr>
          <w:p w:rsidR="00F47AC6" w:rsidRPr="00FC1106" w:rsidRDefault="002E29C1" w:rsidP="00CE043B">
            <w:pPr>
              <w:autoSpaceDE/>
              <w:autoSpaceDN/>
              <w:adjustRightInd/>
              <w:spacing w:after="0"/>
              <w:jc w:val="left"/>
              <w:rPr>
                <w:rFonts w:ascii="Calibri" w:eastAsia="Times New Roman" w:hAnsi="Calibri" w:cs="Times New Roman"/>
                <w:b/>
                <w:bCs/>
                <w:sz w:val="22"/>
                <w:szCs w:val="22"/>
                <w:lang w:eastAsia="en-GB"/>
              </w:rPr>
            </w:pPr>
            <w:r w:rsidRPr="00FC1106">
              <w:rPr>
                <w:rFonts w:ascii="Calibri" w:eastAsia="Times New Roman" w:hAnsi="Calibri" w:cs="Times New Roman"/>
                <w:b/>
                <w:bCs/>
                <w:sz w:val="22"/>
                <w:szCs w:val="22"/>
                <w:lang w:eastAsia="en-GB"/>
              </w:rPr>
              <w:t>LANCASHIRE CARE NHS FOUNDATION TRUST</w:t>
            </w:r>
          </w:p>
        </w:tc>
        <w:tc>
          <w:tcPr>
            <w:tcW w:w="572" w:type="pct"/>
            <w:shd w:val="clear" w:color="DCE6F1" w:fill="DCE6F1"/>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b/>
                <w:bCs/>
                <w:sz w:val="22"/>
                <w:szCs w:val="22"/>
                <w:lang w:eastAsia="en-GB"/>
              </w:rPr>
            </w:pPr>
            <w:r w:rsidRPr="00FC1106">
              <w:rPr>
                <w:rFonts w:ascii="Calibri" w:eastAsia="Times New Roman" w:hAnsi="Calibri" w:cs="Times New Roman"/>
                <w:b/>
                <w:bCs/>
                <w:sz w:val="22"/>
                <w:szCs w:val="22"/>
                <w:lang w:eastAsia="en-GB"/>
              </w:rPr>
              <w:t>93</w:t>
            </w:r>
          </w:p>
        </w:tc>
        <w:tc>
          <w:tcPr>
            <w:tcW w:w="572" w:type="pct"/>
            <w:shd w:val="clear" w:color="DCE6F1" w:fill="DCE6F1"/>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b/>
                <w:bCs/>
                <w:sz w:val="22"/>
                <w:szCs w:val="22"/>
                <w:lang w:eastAsia="en-GB"/>
              </w:rPr>
            </w:pPr>
            <w:r w:rsidRPr="00FC1106">
              <w:rPr>
                <w:rFonts w:ascii="Calibri" w:eastAsia="Times New Roman" w:hAnsi="Calibri" w:cs="Times New Roman"/>
                <w:b/>
                <w:bCs/>
                <w:sz w:val="22"/>
                <w:szCs w:val="22"/>
                <w:lang w:eastAsia="en-GB"/>
              </w:rPr>
              <w:t>22</w:t>
            </w:r>
          </w:p>
        </w:tc>
        <w:tc>
          <w:tcPr>
            <w:tcW w:w="572" w:type="pct"/>
            <w:shd w:val="clear" w:color="DCE6F1" w:fill="DCE6F1"/>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b/>
                <w:bCs/>
                <w:sz w:val="22"/>
                <w:szCs w:val="22"/>
                <w:lang w:eastAsia="en-GB"/>
              </w:rPr>
            </w:pPr>
            <w:r w:rsidRPr="00FC1106">
              <w:rPr>
                <w:rFonts w:ascii="Calibri" w:eastAsia="Times New Roman" w:hAnsi="Calibri" w:cs="Times New Roman"/>
                <w:b/>
                <w:bCs/>
                <w:sz w:val="22"/>
                <w:szCs w:val="22"/>
                <w:lang w:eastAsia="en-GB"/>
              </w:rPr>
              <w:t>104</w:t>
            </w:r>
          </w:p>
        </w:tc>
        <w:tc>
          <w:tcPr>
            <w:tcW w:w="572" w:type="pct"/>
            <w:shd w:val="clear" w:color="DCE6F1" w:fill="DCE6F1"/>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b/>
                <w:bCs/>
                <w:sz w:val="22"/>
                <w:szCs w:val="22"/>
                <w:lang w:eastAsia="en-GB"/>
              </w:rPr>
            </w:pPr>
            <w:r w:rsidRPr="00FC1106">
              <w:rPr>
                <w:rFonts w:ascii="Calibri" w:eastAsia="Times New Roman" w:hAnsi="Calibri" w:cs="Times New Roman"/>
                <w:b/>
                <w:bCs/>
                <w:sz w:val="22"/>
                <w:szCs w:val="22"/>
                <w:lang w:eastAsia="en-GB"/>
              </w:rPr>
              <w:t>219</w:t>
            </w:r>
          </w:p>
        </w:tc>
        <w:tc>
          <w:tcPr>
            <w:tcW w:w="572" w:type="pct"/>
            <w:shd w:val="clear" w:color="DCE6F1" w:fill="DCE6F1"/>
            <w:vAlign w:val="center"/>
          </w:tcPr>
          <w:p w:rsidR="00F47AC6" w:rsidRPr="00FC1106" w:rsidRDefault="002E29C1" w:rsidP="00F47AC6">
            <w:pPr>
              <w:spacing w:after="0"/>
              <w:jc w:val="center"/>
              <w:rPr>
                <w:rFonts w:ascii="Calibri" w:hAnsi="Calibri"/>
                <w:b/>
                <w:bCs/>
                <w:sz w:val="22"/>
                <w:szCs w:val="22"/>
              </w:rPr>
            </w:pPr>
            <w:r w:rsidRPr="00FC1106">
              <w:rPr>
                <w:rFonts w:ascii="Calibri" w:hAnsi="Calibri"/>
                <w:b/>
                <w:bCs/>
                <w:sz w:val="22"/>
                <w:szCs w:val="22"/>
              </w:rPr>
              <w:t>1.1%</w:t>
            </w:r>
          </w:p>
        </w:tc>
        <w:tc>
          <w:tcPr>
            <w:tcW w:w="572" w:type="pct"/>
            <w:shd w:val="clear" w:color="DCE6F1" w:fill="DCE6F1"/>
            <w:vAlign w:val="center"/>
          </w:tcPr>
          <w:p w:rsidR="00F47AC6" w:rsidRPr="00FC1106" w:rsidRDefault="002E29C1" w:rsidP="00F47AC6">
            <w:pPr>
              <w:spacing w:after="0"/>
              <w:jc w:val="center"/>
              <w:rPr>
                <w:rFonts w:ascii="Calibri" w:hAnsi="Calibri"/>
                <w:b/>
                <w:bCs/>
                <w:sz w:val="22"/>
                <w:szCs w:val="22"/>
              </w:rPr>
            </w:pPr>
            <w:r w:rsidRPr="00FC1106">
              <w:rPr>
                <w:rFonts w:ascii="Calibri" w:hAnsi="Calibri"/>
                <w:b/>
                <w:bCs/>
                <w:sz w:val="22"/>
                <w:szCs w:val="22"/>
              </w:rPr>
              <w:t>5.4%</w:t>
            </w:r>
          </w:p>
        </w:tc>
      </w:tr>
      <w:tr w:rsidR="00040D04" w:rsidTr="00CE043B">
        <w:trPr>
          <w:trHeight w:val="397"/>
        </w:trPr>
        <w:tc>
          <w:tcPr>
            <w:tcW w:w="1570" w:type="pct"/>
            <w:shd w:val="clear" w:color="auto" w:fill="auto"/>
            <w:noWrap/>
            <w:vAlign w:val="center"/>
            <w:hideMark/>
          </w:tcPr>
          <w:p w:rsidR="00F47AC6" w:rsidRPr="00FC1106" w:rsidRDefault="002E29C1" w:rsidP="00CE043B">
            <w:pPr>
              <w:autoSpaceDE/>
              <w:autoSpaceDN/>
              <w:adjustRightInd/>
              <w:spacing w:after="0"/>
              <w:ind w:firstLineChars="100" w:firstLine="220"/>
              <w:jc w:val="left"/>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BLACKBURN WITH DARWEN UA</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0</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22</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0</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22</w:t>
            </w:r>
          </w:p>
        </w:tc>
        <w:tc>
          <w:tcPr>
            <w:tcW w:w="572" w:type="pct"/>
            <w:vAlign w:val="center"/>
          </w:tcPr>
          <w:p w:rsidR="00F47AC6" w:rsidRPr="00FC1106" w:rsidRDefault="002E29C1" w:rsidP="00F47AC6">
            <w:pPr>
              <w:spacing w:after="0"/>
              <w:jc w:val="center"/>
              <w:rPr>
                <w:rFonts w:ascii="Calibri" w:hAnsi="Calibri"/>
                <w:sz w:val="22"/>
                <w:szCs w:val="22"/>
              </w:rPr>
            </w:pPr>
            <w:r w:rsidRPr="00FC1106">
              <w:rPr>
                <w:rFonts w:ascii="Calibri" w:hAnsi="Calibri"/>
                <w:sz w:val="22"/>
                <w:szCs w:val="22"/>
              </w:rPr>
              <w:t>100.0%</w:t>
            </w:r>
          </w:p>
        </w:tc>
        <w:tc>
          <w:tcPr>
            <w:tcW w:w="572" w:type="pct"/>
            <w:vAlign w:val="center"/>
          </w:tcPr>
          <w:p w:rsidR="00F47AC6" w:rsidRPr="00FC1106" w:rsidRDefault="002E29C1" w:rsidP="00F47AC6">
            <w:pPr>
              <w:spacing w:after="0"/>
              <w:jc w:val="center"/>
              <w:rPr>
                <w:rFonts w:ascii="Calibri" w:hAnsi="Calibri"/>
                <w:sz w:val="22"/>
                <w:szCs w:val="22"/>
              </w:rPr>
            </w:pPr>
            <w:r w:rsidRPr="00FC1106">
              <w:rPr>
                <w:rFonts w:ascii="Calibri" w:hAnsi="Calibri"/>
                <w:sz w:val="22"/>
                <w:szCs w:val="22"/>
              </w:rPr>
              <w:t>10.0%</w:t>
            </w:r>
          </w:p>
        </w:tc>
      </w:tr>
      <w:tr w:rsidR="00040D04" w:rsidTr="00CE043B">
        <w:trPr>
          <w:trHeight w:val="397"/>
        </w:trPr>
        <w:tc>
          <w:tcPr>
            <w:tcW w:w="1570" w:type="pct"/>
            <w:shd w:val="clear" w:color="auto" w:fill="auto"/>
            <w:noWrap/>
            <w:vAlign w:val="center"/>
            <w:hideMark/>
          </w:tcPr>
          <w:p w:rsidR="00F47AC6" w:rsidRPr="00FC1106" w:rsidRDefault="002E29C1" w:rsidP="00CE043B">
            <w:pPr>
              <w:autoSpaceDE/>
              <w:autoSpaceDN/>
              <w:adjustRightInd/>
              <w:spacing w:after="0"/>
              <w:ind w:firstLineChars="100" w:firstLine="220"/>
              <w:jc w:val="left"/>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LANCASHIRE</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93</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0</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104</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197</w:t>
            </w:r>
          </w:p>
        </w:tc>
        <w:tc>
          <w:tcPr>
            <w:tcW w:w="572" w:type="pct"/>
            <w:vAlign w:val="center"/>
          </w:tcPr>
          <w:p w:rsidR="00F47AC6" w:rsidRPr="00FC1106" w:rsidRDefault="002E29C1" w:rsidP="00F47AC6">
            <w:pPr>
              <w:spacing w:after="0"/>
              <w:jc w:val="center"/>
              <w:rPr>
                <w:rFonts w:ascii="Calibri" w:hAnsi="Calibri"/>
                <w:sz w:val="22"/>
                <w:szCs w:val="22"/>
              </w:rPr>
            </w:pPr>
            <w:r w:rsidRPr="00FC1106">
              <w:rPr>
                <w:rFonts w:ascii="Calibri" w:hAnsi="Calibri"/>
                <w:sz w:val="22"/>
                <w:szCs w:val="22"/>
              </w:rPr>
              <w:t>0.0%</w:t>
            </w:r>
          </w:p>
        </w:tc>
        <w:tc>
          <w:tcPr>
            <w:tcW w:w="572" w:type="pct"/>
            <w:vAlign w:val="center"/>
          </w:tcPr>
          <w:p w:rsidR="00F47AC6" w:rsidRPr="00FC1106" w:rsidRDefault="002E29C1" w:rsidP="00F47AC6">
            <w:pPr>
              <w:spacing w:after="0"/>
              <w:jc w:val="center"/>
              <w:rPr>
                <w:rFonts w:ascii="Calibri" w:hAnsi="Calibri"/>
                <w:sz w:val="22"/>
                <w:szCs w:val="22"/>
              </w:rPr>
            </w:pPr>
            <w:r w:rsidRPr="00FC1106">
              <w:rPr>
                <w:rFonts w:ascii="Calibri" w:hAnsi="Calibri"/>
                <w:sz w:val="22"/>
                <w:szCs w:val="22"/>
              </w:rPr>
              <w:t>90.0%</w:t>
            </w:r>
          </w:p>
        </w:tc>
      </w:tr>
      <w:tr w:rsidR="00040D04" w:rsidTr="00CE043B">
        <w:trPr>
          <w:trHeight w:val="397"/>
        </w:trPr>
        <w:tc>
          <w:tcPr>
            <w:tcW w:w="1570" w:type="pct"/>
            <w:shd w:val="clear" w:color="DCE6F1" w:fill="DCE6F1"/>
            <w:noWrap/>
            <w:vAlign w:val="center"/>
            <w:hideMark/>
          </w:tcPr>
          <w:p w:rsidR="00F47AC6" w:rsidRPr="00FC1106" w:rsidRDefault="002E29C1" w:rsidP="00CE043B">
            <w:pPr>
              <w:autoSpaceDE/>
              <w:autoSpaceDN/>
              <w:adjustRightInd/>
              <w:spacing w:after="0"/>
              <w:jc w:val="left"/>
              <w:rPr>
                <w:rFonts w:ascii="Calibri" w:eastAsia="Times New Roman" w:hAnsi="Calibri" w:cs="Times New Roman"/>
                <w:b/>
                <w:bCs/>
                <w:sz w:val="22"/>
                <w:szCs w:val="22"/>
                <w:lang w:eastAsia="en-GB"/>
              </w:rPr>
            </w:pPr>
            <w:r w:rsidRPr="00FC1106">
              <w:rPr>
                <w:rFonts w:ascii="Calibri" w:eastAsia="Times New Roman" w:hAnsi="Calibri" w:cs="Times New Roman"/>
                <w:b/>
                <w:bCs/>
                <w:sz w:val="22"/>
                <w:szCs w:val="22"/>
                <w:lang w:eastAsia="en-GB"/>
              </w:rPr>
              <w:t>LANCASHIRE TEACHING HOSPITALS NHS FOUNDATION TRUST</w:t>
            </w:r>
          </w:p>
        </w:tc>
        <w:tc>
          <w:tcPr>
            <w:tcW w:w="572" w:type="pct"/>
            <w:shd w:val="clear" w:color="DCE6F1" w:fill="DCE6F1"/>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b/>
                <w:bCs/>
                <w:sz w:val="22"/>
                <w:szCs w:val="22"/>
                <w:lang w:eastAsia="en-GB"/>
              </w:rPr>
            </w:pPr>
            <w:r w:rsidRPr="00FC1106">
              <w:rPr>
                <w:rFonts w:ascii="Calibri" w:eastAsia="Times New Roman" w:hAnsi="Calibri" w:cs="Times New Roman"/>
                <w:b/>
                <w:bCs/>
                <w:sz w:val="22"/>
                <w:szCs w:val="22"/>
                <w:lang w:eastAsia="en-GB"/>
              </w:rPr>
              <w:t>533</w:t>
            </w:r>
          </w:p>
        </w:tc>
        <w:tc>
          <w:tcPr>
            <w:tcW w:w="572" w:type="pct"/>
            <w:shd w:val="clear" w:color="DCE6F1" w:fill="DCE6F1"/>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b/>
                <w:bCs/>
                <w:sz w:val="22"/>
                <w:szCs w:val="22"/>
                <w:lang w:eastAsia="en-GB"/>
              </w:rPr>
            </w:pPr>
            <w:r w:rsidRPr="00FC1106">
              <w:rPr>
                <w:rFonts w:ascii="Calibri" w:eastAsia="Times New Roman" w:hAnsi="Calibri" w:cs="Times New Roman"/>
                <w:b/>
                <w:bCs/>
                <w:sz w:val="22"/>
                <w:szCs w:val="22"/>
                <w:lang w:eastAsia="en-GB"/>
              </w:rPr>
              <w:t>719</w:t>
            </w:r>
          </w:p>
        </w:tc>
        <w:tc>
          <w:tcPr>
            <w:tcW w:w="572" w:type="pct"/>
            <w:shd w:val="clear" w:color="DCE6F1" w:fill="DCE6F1"/>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b/>
                <w:bCs/>
                <w:sz w:val="22"/>
                <w:szCs w:val="22"/>
                <w:lang w:eastAsia="en-GB"/>
              </w:rPr>
            </w:pPr>
            <w:r w:rsidRPr="00FC1106">
              <w:rPr>
                <w:rFonts w:ascii="Calibri" w:eastAsia="Times New Roman" w:hAnsi="Calibri" w:cs="Times New Roman"/>
                <w:b/>
                <w:bCs/>
                <w:sz w:val="22"/>
                <w:szCs w:val="22"/>
                <w:lang w:eastAsia="en-GB"/>
              </w:rPr>
              <w:t>29</w:t>
            </w:r>
          </w:p>
        </w:tc>
        <w:tc>
          <w:tcPr>
            <w:tcW w:w="572" w:type="pct"/>
            <w:shd w:val="clear" w:color="DCE6F1" w:fill="DCE6F1"/>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b/>
                <w:bCs/>
                <w:sz w:val="22"/>
                <w:szCs w:val="22"/>
                <w:lang w:eastAsia="en-GB"/>
              </w:rPr>
            </w:pPr>
            <w:r w:rsidRPr="00FC1106">
              <w:rPr>
                <w:rFonts w:ascii="Calibri" w:eastAsia="Times New Roman" w:hAnsi="Calibri" w:cs="Times New Roman"/>
                <w:b/>
                <w:bCs/>
                <w:sz w:val="22"/>
                <w:szCs w:val="22"/>
                <w:lang w:eastAsia="en-GB"/>
              </w:rPr>
              <w:t>1281</w:t>
            </w:r>
          </w:p>
        </w:tc>
        <w:tc>
          <w:tcPr>
            <w:tcW w:w="572" w:type="pct"/>
            <w:shd w:val="clear" w:color="DCE6F1" w:fill="DCE6F1"/>
            <w:vAlign w:val="center"/>
          </w:tcPr>
          <w:p w:rsidR="00F47AC6" w:rsidRPr="00FC1106" w:rsidRDefault="002E29C1" w:rsidP="00F47AC6">
            <w:pPr>
              <w:spacing w:after="0"/>
              <w:jc w:val="center"/>
              <w:rPr>
                <w:rFonts w:ascii="Calibri" w:hAnsi="Calibri"/>
                <w:b/>
                <w:bCs/>
                <w:sz w:val="22"/>
                <w:szCs w:val="22"/>
              </w:rPr>
            </w:pPr>
            <w:r w:rsidRPr="00FC1106">
              <w:rPr>
                <w:rFonts w:ascii="Calibri" w:hAnsi="Calibri"/>
                <w:b/>
                <w:bCs/>
                <w:sz w:val="22"/>
                <w:szCs w:val="22"/>
              </w:rPr>
              <w:t>37.2%</w:t>
            </w:r>
          </w:p>
        </w:tc>
        <w:tc>
          <w:tcPr>
            <w:tcW w:w="572" w:type="pct"/>
            <w:shd w:val="clear" w:color="DCE6F1" w:fill="DCE6F1"/>
            <w:vAlign w:val="center"/>
          </w:tcPr>
          <w:p w:rsidR="00F47AC6" w:rsidRPr="00FC1106" w:rsidRDefault="002E29C1" w:rsidP="00F47AC6">
            <w:pPr>
              <w:spacing w:after="0"/>
              <w:jc w:val="center"/>
              <w:rPr>
                <w:rFonts w:ascii="Calibri" w:hAnsi="Calibri"/>
                <w:b/>
                <w:bCs/>
                <w:sz w:val="22"/>
                <w:szCs w:val="22"/>
              </w:rPr>
            </w:pPr>
            <w:r w:rsidRPr="00FC1106">
              <w:rPr>
                <w:rFonts w:ascii="Calibri" w:hAnsi="Calibri"/>
                <w:b/>
                <w:bCs/>
                <w:sz w:val="22"/>
                <w:szCs w:val="22"/>
              </w:rPr>
              <w:t>31.4%</w:t>
            </w:r>
          </w:p>
        </w:tc>
      </w:tr>
      <w:tr w:rsidR="00040D04" w:rsidTr="00CE043B">
        <w:trPr>
          <w:trHeight w:val="397"/>
        </w:trPr>
        <w:tc>
          <w:tcPr>
            <w:tcW w:w="1570" w:type="pct"/>
            <w:shd w:val="clear" w:color="auto" w:fill="auto"/>
            <w:noWrap/>
            <w:vAlign w:val="center"/>
            <w:hideMark/>
          </w:tcPr>
          <w:p w:rsidR="00F47AC6" w:rsidRPr="00FC1106" w:rsidRDefault="002E29C1" w:rsidP="00CE043B">
            <w:pPr>
              <w:autoSpaceDE/>
              <w:autoSpaceDN/>
              <w:adjustRightInd/>
              <w:spacing w:after="0"/>
              <w:ind w:firstLineChars="100" w:firstLine="220"/>
              <w:jc w:val="left"/>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BLACKPOOL UA</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19</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15</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0</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34</w:t>
            </w:r>
          </w:p>
        </w:tc>
        <w:tc>
          <w:tcPr>
            <w:tcW w:w="572" w:type="pct"/>
            <w:vAlign w:val="center"/>
          </w:tcPr>
          <w:p w:rsidR="00F47AC6" w:rsidRPr="00FC1106" w:rsidRDefault="002E29C1" w:rsidP="00F47AC6">
            <w:pPr>
              <w:spacing w:after="0"/>
              <w:jc w:val="center"/>
              <w:rPr>
                <w:rFonts w:ascii="Calibri" w:hAnsi="Calibri"/>
                <w:sz w:val="22"/>
                <w:szCs w:val="22"/>
              </w:rPr>
            </w:pPr>
            <w:r w:rsidRPr="00FC1106">
              <w:rPr>
                <w:rFonts w:ascii="Calibri" w:hAnsi="Calibri"/>
                <w:sz w:val="22"/>
                <w:szCs w:val="22"/>
              </w:rPr>
              <w:t>2.1%</w:t>
            </w:r>
          </w:p>
        </w:tc>
        <w:tc>
          <w:tcPr>
            <w:tcW w:w="572" w:type="pct"/>
            <w:vAlign w:val="center"/>
          </w:tcPr>
          <w:p w:rsidR="00F47AC6" w:rsidRPr="00FC1106" w:rsidRDefault="002E29C1" w:rsidP="00F47AC6">
            <w:pPr>
              <w:spacing w:after="0"/>
              <w:jc w:val="center"/>
              <w:rPr>
                <w:rFonts w:ascii="Calibri" w:hAnsi="Calibri"/>
                <w:sz w:val="22"/>
                <w:szCs w:val="22"/>
              </w:rPr>
            </w:pPr>
            <w:r w:rsidRPr="00FC1106">
              <w:rPr>
                <w:rFonts w:ascii="Calibri" w:hAnsi="Calibri"/>
                <w:sz w:val="22"/>
                <w:szCs w:val="22"/>
              </w:rPr>
              <w:t>2.7%</w:t>
            </w:r>
          </w:p>
        </w:tc>
      </w:tr>
      <w:tr w:rsidR="00040D04" w:rsidTr="00CE043B">
        <w:trPr>
          <w:trHeight w:val="397"/>
        </w:trPr>
        <w:tc>
          <w:tcPr>
            <w:tcW w:w="1570" w:type="pct"/>
            <w:shd w:val="clear" w:color="auto" w:fill="auto"/>
            <w:noWrap/>
            <w:vAlign w:val="center"/>
            <w:hideMark/>
          </w:tcPr>
          <w:p w:rsidR="00F47AC6" w:rsidRPr="00FC1106" w:rsidRDefault="002E29C1" w:rsidP="00CE043B">
            <w:pPr>
              <w:autoSpaceDE/>
              <w:autoSpaceDN/>
              <w:adjustRightInd/>
              <w:spacing w:after="0"/>
              <w:ind w:firstLineChars="100" w:firstLine="220"/>
              <w:jc w:val="left"/>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CUMBRIA</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6</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27</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0</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33</w:t>
            </w:r>
          </w:p>
        </w:tc>
        <w:tc>
          <w:tcPr>
            <w:tcW w:w="572" w:type="pct"/>
            <w:vAlign w:val="center"/>
          </w:tcPr>
          <w:p w:rsidR="00F47AC6" w:rsidRPr="00FC1106" w:rsidRDefault="002E29C1" w:rsidP="00F47AC6">
            <w:pPr>
              <w:spacing w:after="0"/>
              <w:jc w:val="center"/>
              <w:rPr>
                <w:rFonts w:ascii="Calibri" w:hAnsi="Calibri"/>
                <w:sz w:val="22"/>
                <w:szCs w:val="22"/>
              </w:rPr>
            </w:pPr>
            <w:r w:rsidRPr="00FC1106">
              <w:rPr>
                <w:rFonts w:ascii="Calibri" w:hAnsi="Calibri"/>
                <w:sz w:val="22"/>
                <w:szCs w:val="22"/>
              </w:rPr>
              <w:t>3.8%</w:t>
            </w:r>
          </w:p>
        </w:tc>
        <w:tc>
          <w:tcPr>
            <w:tcW w:w="572" w:type="pct"/>
            <w:vAlign w:val="center"/>
          </w:tcPr>
          <w:p w:rsidR="00F47AC6" w:rsidRPr="00FC1106" w:rsidRDefault="002E29C1" w:rsidP="00F47AC6">
            <w:pPr>
              <w:spacing w:after="0"/>
              <w:jc w:val="center"/>
              <w:rPr>
                <w:rFonts w:ascii="Calibri" w:hAnsi="Calibri"/>
                <w:sz w:val="22"/>
                <w:szCs w:val="22"/>
              </w:rPr>
            </w:pPr>
            <w:r w:rsidRPr="00FC1106">
              <w:rPr>
                <w:rFonts w:ascii="Calibri" w:hAnsi="Calibri"/>
                <w:sz w:val="22"/>
                <w:szCs w:val="22"/>
              </w:rPr>
              <w:t>2.6%</w:t>
            </w:r>
          </w:p>
        </w:tc>
      </w:tr>
      <w:tr w:rsidR="00040D04" w:rsidTr="00CE043B">
        <w:trPr>
          <w:trHeight w:val="397"/>
        </w:trPr>
        <w:tc>
          <w:tcPr>
            <w:tcW w:w="1570" w:type="pct"/>
            <w:shd w:val="clear" w:color="auto" w:fill="auto"/>
            <w:noWrap/>
            <w:vAlign w:val="center"/>
            <w:hideMark/>
          </w:tcPr>
          <w:p w:rsidR="00F47AC6" w:rsidRPr="00FC1106" w:rsidRDefault="002E29C1" w:rsidP="00CE043B">
            <w:pPr>
              <w:autoSpaceDE/>
              <w:autoSpaceDN/>
              <w:adjustRightInd/>
              <w:spacing w:after="0"/>
              <w:ind w:firstLineChars="100" w:firstLine="220"/>
              <w:jc w:val="left"/>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LANCASHIRE</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505</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677</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29</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1211</w:t>
            </w:r>
          </w:p>
        </w:tc>
        <w:tc>
          <w:tcPr>
            <w:tcW w:w="572" w:type="pct"/>
            <w:vAlign w:val="center"/>
          </w:tcPr>
          <w:p w:rsidR="00F47AC6" w:rsidRPr="00FC1106" w:rsidRDefault="002E29C1" w:rsidP="00F47AC6">
            <w:pPr>
              <w:spacing w:after="0"/>
              <w:jc w:val="center"/>
              <w:rPr>
                <w:rFonts w:ascii="Calibri" w:hAnsi="Calibri"/>
                <w:sz w:val="22"/>
                <w:szCs w:val="22"/>
              </w:rPr>
            </w:pPr>
            <w:r w:rsidRPr="00FC1106">
              <w:rPr>
                <w:rFonts w:ascii="Calibri" w:hAnsi="Calibri"/>
                <w:sz w:val="22"/>
                <w:szCs w:val="22"/>
              </w:rPr>
              <w:t>94.2%</w:t>
            </w:r>
          </w:p>
        </w:tc>
        <w:tc>
          <w:tcPr>
            <w:tcW w:w="572" w:type="pct"/>
            <w:vAlign w:val="center"/>
          </w:tcPr>
          <w:p w:rsidR="00F47AC6" w:rsidRPr="00FC1106" w:rsidRDefault="002E29C1" w:rsidP="00F47AC6">
            <w:pPr>
              <w:spacing w:after="0"/>
              <w:jc w:val="center"/>
              <w:rPr>
                <w:rFonts w:ascii="Calibri" w:hAnsi="Calibri"/>
                <w:sz w:val="22"/>
                <w:szCs w:val="22"/>
              </w:rPr>
            </w:pPr>
            <w:r w:rsidRPr="00FC1106">
              <w:rPr>
                <w:rFonts w:ascii="Calibri" w:hAnsi="Calibri"/>
                <w:sz w:val="22"/>
                <w:szCs w:val="22"/>
              </w:rPr>
              <w:t>94.5%</w:t>
            </w:r>
          </w:p>
        </w:tc>
      </w:tr>
      <w:tr w:rsidR="00040D04" w:rsidTr="00CE043B">
        <w:trPr>
          <w:trHeight w:val="397"/>
        </w:trPr>
        <w:tc>
          <w:tcPr>
            <w:tcW w:w="1570" w:type="pct"/>
            <w:shd w:val="clear" w:color="auto" w:fill="auto"/>
            <w:noWrap/>
            <w:vAlign w:val="center"/>
            <w:hideMark/>
          </w:tcPr>
          <w:p w:rsidR="00F47AC6" w:rsidRPr="00FC1106" w:rsidRDefault="002E29C1" w:rsidP="00CE043B">
            <w:pPr>
              <w:autoSpaceDE/>
              <w:autoSpaceDN/>
              <w:adjustRightInd/>
              <w:spacing w:after="0"/>
              <w:ind w:firstLineChars="100" w:firstLine="220"/>
              <w:jc w:val="left"/>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LIVERPOOL</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3</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0</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0</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3</w:t>
            </w:r>
          </w:p>
        </w:tc>
        <w:tc>
          <w:tcPr>
            <w:tcW w:w="572" w:type="pct"/>
            <w:vAlign w:val="center"/>
          </w:tcPr>
          <w:p w:rsidR="00F47AC6" w:rsidRPr="00FC1106" w:rsidRDefault="002E29C1" w:rsidP="00F47AC6">
            <w:pPr>
              <w:spacing w:after="0"/>
              <w:jc w:val="center"/>
              <w:rPr>
                <w:rFonts w:ascii="Calibri" w:hAnsi="Calibri"/>
                <w:sz w:val="22"/>
                <w:szCs w:val="22"/>
              </w:rPr>
            </w:pPr>
            <w:r w:rsidRPr="00FC1106">
              <w:rPr>
                <w:rFonts w:ascii="Calibri" w:hAnsi="Calibri"/>
                <w:sz w:val="22"/>
                <w:szCs w:val="22"/>
              </w:rPr>
              <w:t>0.0%</w:t>
            </w:r>
          </w:p>
        </w:tc>
        <w:tc>
          <w:tcPr>
            <w:tcW w:w="572" w:type="pct"/>
            <w:vAlign w:val="center"/>
          </w:tcPr>
          <w:p w:rsidR="00F47AC6" w:rsidRPr="00FC1106" w:rsidRDefault="002E29C1" w:rsidP="00F47AC6">
            <w:pPr>
              <w:spacing w:after="0"/>
              <w:jc w:val="center"/>
              <w:rPr>
                <w:rFonts w:ascii="Calibri" w:hAnsi="Calibri"/>
                <w:sz w:val="22"/>
                <w:szCs w:val="22"/>
              </w:rPr>
            </w:pPr>
            <w:r w:rsidRPr="00FC1106">
              <w:rPr>
                <w:rFonts w:ascii="Calibri" w:hAnsi="Calibri"/>
                <w:sz w:val="22"/>
                <w:szCs w:val="22"/>
              </w:rPr>
              <w:t>0.2%</w:t>
            </w:r>
          </w:p>
        </w:tc>
      </w:tr>
      <w:tr w:rsidR="00040D04" w:rsidTr="00CE043B">
        <w:trPr>
          <w:trHeight w:val="397"/>
        </w:trPr>
        <w:tc>
          <w:tcPr>
            <w:tcW w:w="1570" w:type="pct"/>
            <w:shd w:val="clear" w:color="DCE6F1" w:fill="DCE6F1"/>
            <w:noWrap/>
            <w:vAlign w:val="center"/>
            <w:hideMark/>
          </w:tcPr>
          <w:p w:rsidR="00F47AC6" w:rsidRPr="00FC1106" w:rsidRDefault="002E29C1" w:rsidP="00CE043B">
            <w:pPr>
              <w:autoSpaceDE/>
              <w:autoSpaceDN/>
              <w:adjustRightInd/>
              <w:spacing w:after="0"/>
              <w:jc w:val="left"/>
              <w:rPr>
                <w:rFonts w:ascii="Calibri" w:eastAsia="Times New Roman" w:hAnsi="Calibri" w:cs="Times New Roman"/>
                <w:b/>
                <w:bCs/>
                <w:sz w:val="22"/>
                <w:szCs w:val="22"/>
                <w:lang w:eastAsia="en-GB"/>
              </w:rPr>
            </w:pPr>
            <w:r w:rsidRPr="00FC1106">
              <w:rPr>
                <w:rFonts w:ascii="Calibri" w:eastAsia="Times New Roman" w:hAnsi="Calibri" w:cs="Times New Roman"/>
                <w:b/>
                <w:bCs/>
                <w:sz w:val="22"/>
                <w:szCs w:val="22"/>
                <w:lang w:eastAsia="en-GB"/>
              </w:rPr>
              <w:t>SOUTHPORT AND ORMSKIRK HOSPITAL NHS TRUST</w:t>
            </w:r>
          </w:p>
        </w:tc>
        <w:tc>
          <w:tcPr>
            <w:tcW w:w="572" w:type="pct"/>
            <w:shd w:val="clear" w:color="DCE6F1" w:fill="DCE6F1"/>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b/>
                <w:bCs/>
                <w:sz w:val="22"/>
                <w:szCs w:val="22"/>
                <w:lang w:eastAsia="en-GB"/>
              </w:rPr>
            </w:pPr>
            <w:r w:rsidRPr="00FC1106">
              <w:rPr>
                <w:rFonts w:ascii="Calibri" w:eastAsia="Times New Roman" w:hAnsi="Calibri" w:cs="Times New Roman"/>
                <w:b/>
                <w:bCs/>
                <w:sz w:val="22"/>
                <w:szCs w:val="22"/>
                <w:lang w:eastAsia="en-GB"/>
              </w:rPr>
              <w:t>168</w:t>
            </w:r>
          </w:p>
        </w:tc>
        <w:tc>
          <w:tcPr>
            <w:tcW w:w="572" w:type="pct"/>
            <w:shd w:val="clear" w:color="DCE6F1" w:fill="DCE6F1"/>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b/>
                <w:bCs/>
                <w:sz w:val="22"/>
                <w:szCs w:val="22"/>
                <w:lang w:eastAsia="en-GB"/>
              </w:rPr>
            </w:pPr>
            <w:r w:rsidRPr="00FC1106">
              <w:rPr>
                <w:rFonts w:ascii="Calibri" w:eastAsia="Times New Roman" w:hAnsi="Calibri" w:cs="Times New Roman"/>
                <w:b/>
                <w:bCs/>
                <w:sz w:val="22"/>
                <w:szCs w:val="22"/>
                <w:lang w:eastAsia="en-GB"/>
              </w:rPr>
              <w:t>7</w:t>
            </w:r>
          </w:p>
        </w:tc>
        <w:tc>
          <w:tcPr>
            <w:tcW w:w="572" w:type="pct"/>
            <w:shd w:val="clear" w:color="DCE6F1" w:fill="DCE6F1"/>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b/>
                <w:bCs/>
                <w:sz w:val="22"/>
                <w:szCs w:val="22"/>
                <w:lang w:eastAsia="en-GB"/>
              </w:rPr>
            </w:pPr>
            <w:r w:rsidRPr="00FC1106">
              <w:rPr>
                <w:rFonts w:ascii="Calibri" w:eastAsia="Times New Roman" w:hAnsi="Calibri" w:cs="Times New Roman"/>
                <w:b/>
                <w:bCs/>
                <w:sz w:val="22"/>
                <w:szCs w:val="22"/>
                <w:lang w:eastAsia="en-GB"/>
              </w:rPr>
              <w:t>0</w:t>
            </w:r>
          </w:p>
        </w:tc>
        <w:tc>
          <w:tcPr>
            <w:tcW w:w="572" w:type="pct"/>
            <w:shd w:val="clear" w:color="DCE6F1" w:fill="DCE6F1"/>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b/>
                <w:bCs/>
                <w:sz w:val="22"/>
                <w:szCs w:val="22"/>
                <w:lang w:eastAsia="en-GB"/>
              </w:rPr>
            </w:pPr>
            <w:r w:rsidRPr="00FC1106">
              <w:rPr>
                <w:rFonts w:ascii="Calibri" w:eastAsia="Times New Roman" w:hAnsi="Calibri" w:cs="Times New Roman"/>
                <w:b/>
                <w:bCs/>
                <w:sz w:val="22"/>
                <w:szCs w:val="22"/>
                <w:lang w:eastAsia="en-GB"/>
              </w:rPr>
              <w:t>175</w:t>
            </w:r>
          </w:p>
        </w:tc>
        <w:tc>
          <w:tcPr>
            <w:tcW w:w="572" w:type="pct"/>
            <w:shd w:val="clear" w:color="DCE6F1" w:fill="DCE6F1"/>
            <w:vAlign w:val="center"/>
          </w:tcPr>
          <w:p w:rsidR="00F47AC6" w:rsidRPr="00FC1106" w:rsidRDefault="002E29C1" w:rsidP="00F47AC6">
            <w:pPr>
              <w:spacing w:after="0"/>
              <w:jc w:val="center"/>
              <w:rPr>
                <w:rFonts w:ascii="Calibri" w:hAnsi="Calibri"/>
                <w:b/>
                <w:bCs/>
                <w:sz w:val="22"/>
                <w:szCs w:val="22"/>
              </w:rPr>
            </w:pPr>
            <w:r w:rsidRPr="00FC1106">
              <w:rPr>
                <w:rFonts w:ascii="Calibri" w:hAnsi="Calibri"/>
                <w:b/>
                <w:bCs/>
                <w:sz w:val="22"/>
                <w:szCs w:val="22"/>
              </w:rPr>
              <w:t>0.4%</w:t>
            </w:r>
          </w:p>
        </w:tc>
        <w:tc>
          <w:tcPr>
            <w:tcW w:w="572" w:type="pct"/>
            <w:shd w:val="clear" w:color="DCE6F1" w:fill="DCE6F1"/>
            <w:vAlign w:val="center"/>
          </w:tcPr>
          <w:p w:rsidR="00F47AC6" w:rsidRPr="00FC1106" w:rsidRDefault="002E29C1" w:rsidP="00F47AC6">
            <w:pPr>
              <w:spacing w:after="0"/>
              <w:jc w:val="center"/>
              <w:rPr>
                <w:rFonts w:ascii="Calibri" w:hAnsi="Calibri"/>
                <w:b/>
                <w:bCs/>
                <w:sz w:val="22"/>
                <w:szCs w:val="22"/>
              </w:rPr>
            </w:pPr>
            <w:r w:rsidRPr="00FC1106">
              <w:rPr>
                <w:rFonts w:ascii="Calibri" w:hAnsi="Calibri"/>
                <w:b/>
                <w:bCs/>
                <w:sz w:val="22"/>
                <w:szCs w:val="22"/>
              </w:rPr>
              <w:t>4.3%</w:t>
            </w:r>
          </w:p>
        </w:tc>
      </w:tr>
      <w:tr w:rsidR="00040D04" w:rsidTr="00CE043B">
        <w:trPr>
          <w:trHeight w:val="397"/>
        </w:trPr>
        <w:tc>
          <w:tcPr>
            <w:tcW w:w="1570" w:type="pct"/>
            <w:shd w:val="clear" w:color="auto" w:fill="auto"/>
            <w:noWrap/>
            <w:vAlign w:val="center"/>
            <w:hideMark/>
          </w:tcPr>
          <w:p w:rsidR="00F47AC6" w:rsidRPr="00FC1106" w:rsidRDefault="002E29C1" w:rsidP="00CE043B">
            <w:pPr>
              <w:autoSpaceDE/>
              <w:autoSpaceDN/>
              <w:adjustRightInd/>
              <w:spacing w:after="0"/>
              <w:ind w:firstLineChars="100" w:firstLine="220"/>
              <w:jc w:val="left"/>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LANCASHIRE</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49</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7</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0</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56</w:t>
            </w:r>
          </w:p>
        </w:tc>
        <w:tc>
          <w:tcPr>
            <w:tcW w:w="572" w:type="pct"/>
            <w:vAlign w:val="center"/>
          </w:tcPr>
          <w:p w:rsidR="00F47AC6" w:rsidRPr="00FC1106" w:rsidRDefault="002E29C1" w:rsidP="00F47AC6">
            <w:pPr>
              <w:spacing w:after="0"/>
              <w:jc w:val="center"/>
              <w:rPr>
                <w:rFonts w:ascii="Calibri" w:hAnsi="Calibri"/>
                <w:sz w:val="22"/>
                <w:szCs w:val="22"/>
              </w:rPr>
            </w:pPr>
            <w:r w:rsidRPr="00FC1106">
              <w:rPr>
                <w:rFonts w:ascii="Calibri" w:hAnsi="Calibri"/>
                <w:sz w:val="22"/>
                <w:szCs w:val="22"/>
              </w:rPr>
              <w:t>100.0%</w:t>
            </w:r>
          </w:p>
        </w:tc>
        <w:tc>
          <w:tcPr>
            <w:tcW w:w="572" w:type="pct"/>
            <w:vAlign w:val="center"/>
          </w:tcPr>
          <w:p w:rsidR="00F47AC6" w:rsidRPr="00FC1106" w:rsidRDefault="002E29C1" w:rsidP="00F47AC6">
            <w:pPr>
              <w:spacing w:after="0"/>
              <w:jc w:val="center"/>
              <w:rPr>
                <w:rFonts w:ascii="Calibri" w:hAnsi="Calibri"/>
                <w:sz w:val="22"/>
                <w:szCs w:val="22"/>
              </w:rPr>
            </w:pPr>
            <w:r w:rsidRPr="00FC1106">
              <w:rPr>
                <w:rFonts w:ascii="Calibri" w:hAnsi="Calibri"/>
                <w:sz w:val="22"/>
                <w:szCs w:val="22"/>
              </w:rPr>
              <w:t>32.0%</w:t>
            </w:r>
          </w:p>
        </w:tc>
      </w:tr>
      <w:tr w:rsidR="00040D04" w:rsidTr="00CE043B">
        <w:trPr>
          <w:trHeight w:val="397"/>
        </w:trPr>
        <w:tc>
          <w:tcPr>
            <w:tcW w:w="1570" w:type="pct"/>
            <w:shd w:val="clear" w:color="auto" w:fill="auto"/>
            <w:noWrap/>
            <w:vAlign w:val="center"/>
            <w:hideMark/>
          </w:tcPr>
          <w:p w:rsidR="00F47AC6" w:rsidRPr="00FC1106" w:rsidRDefault="002E29C1" w:rsidP="00CE043B">
            <w:pPr>
              <w:autoSpaceDE/>
              <w:autoSpaceDN/>
              <w:adjustRightInd/>
              <w:spacing w:after="0"/>
              <w:ind w:firstLineChars="100" w:firstLine="220"/>
              <w:jc w:val="left"/>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SEFTON</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119</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0</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0</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119</w:t>
            </w:r>
          </w:p>
        </w:tc>
        <w:tc>
          <w:tcPr>
            <w:tcW w:w="572" w:type="pct"/>
            <w:vAlign w:val="center"/>
          </w:tcPr>
          <w:p w:rsidR="00F47AC6" w:rsidRPr="00FC1106" w:rsidRDefault="002E29C1" w:rsidP="00F47AC6">
            <w:pPr>
              <w:spacing w:after="0"/>
              <w:jc w:val="center"/>
              <w:rPr>
                <w:rFonts w:ascii="Calibri" w:hAnsi="Calibri"/>
                <w:sz w:val="22"/>
                <w:szCs w:val="22"/>
              </w:rPr>
            </w:pPr>
            <w:r w:rsidRPr="00FC1106">
              <w:rPr>
                <w:rFonts w:ascii="Calibri" w:hAnsi="Calibri"/>
                <w:sz w:val="22"/>
                <w:szCs w:val="22"/>
              </w:rPr>
              <w:t>0.0%</w:t>
            </w:r>
          </w:p>
        </w:tc>
        <w:tc>
          <w:tcPr>
            <w:tcW w:w="572" w:type="pct"/>
            <w:vAlign w:val="center"/>
          </w:tcPr>
          <w:p w:rsidR="00F47AC6" w:rsidRPr="00FC1106" w:rsidRDefault="002E29C1" w:rsidP="00F47AC6">
            <w:pPr>
              <w:spacing w:after="0"/>
              <w:jc w:val="center"/>
              <w:rPr>
                <w:rFonts w:ascii="Calibri" w:hAnsi="Calibri"/>
                <w:sz w:val="22"/>
                <w:szCs w:val="22"/>
              </w:rPr>
            </w:pPr>
            <w:r w:rsidRPr="00FC1106">
              <w:rPr>
                <w:rFonts w:ascii="Calibri" w:hAnsi="Calibri"/>
                <w:sz w:val="22"/>
                <w:szCs w:val="22"/>
              </w:rPr>
              <w:t>68.0%</w:t>
            </w:r>
          </w:p>
        </w:tc>
      </w:tr>
      <w:tr w:rsidR="00040D04" w:rsidTr="00CE043B">
        <w:trPr>
          <w:trHeight w:val="397"/>
        </w:trPr>
        <w:tc>
          <w:tcPr>
            <w:tcW w:w="1570" w:type="pct"/>
            <w:shd w:val="clear" w:color="DCE6F1" w:fill="DCE6F1"/>
            <w:noWrap/>
            <w:vAlign w:val="center"/>
            <w:hideMark/>
          </w:tcPr>
          <w:p w:rsidR="00F47AC6" w:rsidRPr="00FC1106" w:rsidRDefault="002E29C1" w:rsidP="00CE043B">
            <w:pPr>
              <w:autoSpaceDE/>
              <w:autoSpaceDN/>
              <w:adjustRightInd/>
              <w:spacing w:after="0"/>
              <w:jc w:val="left"/>
              <w:rPr>
                <w:rFonts w:ascii="Calibri" w:eastAsia="Times New Roman" w:hAnsi="Calibri" w:cs="Times New Roman"/>
                <w:b/>
                <w:bCs/>
                <w:sz w:val="22"/>
                <w:szCs w:val="22"/>
                <w:lang w:eastAsia="en-GB"/>
              </w:rPr>
            </w:pPr>
            <w:r w:rsidRPr="00FC1106">
              <w:rPr>
                <w:rFonts w:ascii="Calibri" w:eastAsia="Times New Roman" w:hAnsi="Calibri" w:cs="Times New Roman"/>
                <w:b/>
                <w:bCs/>
                <w:sz w:val="22"/>
                <w:szCs w:val="22"/>
                <w:lang w:eastAsia="en-GB"/>
              </w:rPr>
              <w:t>UNIVERSITY HOSPITALS OF MORECAMBE BAY NHS FOUNDATION TRUST</w:t>
            </w:r>
          </w:p>
        </w:tc>
        <w:tc>
          <w:tcPr>
            <w:tcW w:w="572" w:type="pct"/>
            <w:shd w:val="clear" w:color="DCE6F1" w:fill="DCE6F1"/>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b/>
                <w:bCs/>
                <w:sz w:val="22"/>
                <w:szCs w:val="22"/>
                <w:lang w:eastAsia="en-GB"/>
              </w:rPr>
            </w:pPr>
            <w:r w:rsidRPr="00FC1106">
              <w:rPr>
                <w:rFonts w:ascii="Calibri" w:eastAsia="Times New Roman" w:hAnsi="Calibri" w:cs="Times New Roman"/>
                <w:b/>
                <w:bCs/>
                <w:sz w:val="22"/>
                <w:szCs w:val="22"/>
                <w:lang w:eastAsia="en-GB"/>
              </w:rPr>
              <w:t>278</w:t>
            </w:r>
          </w:p>
        </w:tc>
        <w:tc>
          <w:tcPr>
            <w:tcW w:w="572" w:type="pct"/>
            <w:shd w:val="clear" w:color="DCE6F1" w:fill="DCE6F1"/>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b/>
                <w:bCs/>
                <w:sz w:val="22"/>
                <w:szCs w:val="22"/>
                <w:lang w:eastAsia="en-GB"/>
              </w:rPr>
            </w:pPr>
            <w:r w:rsidRPr="00FC1106">
              <w:rPr>
                <w:rFonts w:ascii="Calibri" w:eastAsia="Times New Roman" w:hAnsi="Calibri" w:cs="Times New Roman"/>
                <w:b/>
                <w:bCs/>
                <w:sz w:val="22"/>
                <w:szCs w:val="22"/>
                <w:lang w:eastAsia="en-GB"/>
              </w:rPr>
              <w:t>487</w:t>
            </w:r>
          </w:p>
        </w:tc>
        <w:tc>
          <w:tcPr>
            <w:tcW w:w="572" w:type="pct"/>
            <w:shd w:val="clear" w:color="DCE6F1" w:fill="DCE6F1"/>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b/>
                <w:bCs/>
                <w:sz w:val="22"/>
                <w:szCs w:val="22"/>
                <w:lang w:eastAsia="en-GB"/>
              </w:rPr>
            </w:pPr>
            <w:r w:rsidRPr="00FC1106">
              <w:rPr>
                <w:rFonts w:ascii="Calibri" w:eastAsia="Times New Roman" w:hAnsi="Calibri" w:cs="Times New Roman"/>
                <w:b/>
                <w:bCs/>
                <w:sz w:val="22"/>
                <w:szCs w:val="22"/>
                <w:lang w:eastAsia="en-GB"/>
              </w:rPr>
              <w:t>7</w:t>
            </w:r>
          </w:p>
        </w:tc>
        <w:tc>
          <w:tcPr>
            <w:tcW w:w="572" w:type="pct"/>
            <w:shd w:val="clear" w:color="DCE6F1" w:fill="DCE6F1"/>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b/>
                <w:bCs/>
                <w:sz w:val="22"/>
                <w:szCs w:val="22"/>
                <w:lang w:eastAsia="en-GB"/>
              </w:rPr>
            </w:pPr>
            <w:r w:rsidRPr="00FC1106">
              <w:rPr>
                <w:rFonts w:ascii="Calibri" w:eastAsia="Times New Roman" w:hAnsi="Calibri" w:cs="Times New Roman"/>
                <w:b/>
                <w:bCs/>
                <w:sz w:val="22"/>
                <w:szCs w:val="22"/>
                <w:lang w:eastAsia="en-GB"/>
              </w:rPr>
              <w:t>772</w:t>
            </w:r>
          </w:p>
        </w:tc>
        <w:tc>
          <w:tcPr>
            <w:tcW w:w="572" w:type="pct"/>
            <w:shd w:val="clear" w:color="DCE6F1" w:fill="DCE6F1"/>
            <w:vAlign w:val="center"/>
          </w:tcPr>
          <w:p w:rsidR="00F47AC6" w:rsidRPr="00FC1106" w:rsidRDefault="002E29C1" w:rsidP="00F47AC6">
            <w:pPr>
              <w:spacing w:after="0"/>
              <w:jc w:val="center"/>
              <w:rPr>
                <w:rFonts w:ascii="Calibri" w:hAnsi="Calibri"/>
                <w:b/>
                <w:bCs/>
                <w:sz w:val="22"/>
                <w:szCs w:val="22"/>
              </w:rPr>
            </w:pPr>
            <w:r w:rsidRPr="00FC1106">
              <w:rPr>
                <w:rFonts w:ascii="Calibri" w:hAnsi="Calibri"/>
                <w:b/>
                <w:bCs/>
                <w:sz w:val="22"/>
                <w:szCs w:val="22"/>
              </w:rPr>
              <w:t>25.2%</w:t>
            </w:r>
          </w:p>
        </w:tc>
        <w:tc>
          <w:tcPr>
            <w:tcW w:w="572" w:type="pct"/>
            <w:shd w:val="clear" w:color="DCE6F1" w:fill="DCE6F1"/>
            <w:vAlign w:val="center"/>
          </w:tcPr>
          <w:p w:rsidR="00F47AC6" w:rsidRPr="00FC1106" w:rsidRDefault="002E29C1" w:rsidP="00F47AC6">
            <w:pPr>
              <w:spacing w:after="0"/>
              <w:jc w:val="center"/>
              <w:rPr>
                <w:rFonts w:ascii="Calibri" w:hAnsi="Calibri"/>
                <w:b/>
                <w:bCs/>
                <w:sz w:val="22"/>
                <w:szCs w:val="22"/>
              </w:rPr>
            </w:pPr>
            <w:r w:rsidRPr="00FC1106">
              <w:rPr>
                <w:rFonts w:ascii="Calibri" w:hAnsi="Calibri"/>
                <w:b/>
                <w:bCs/>
                <w:sz w:val="22"/>
                <w:szCs w:val="22"/>
              </w:rPr>
              <w:t>18.9%</w:t>
            </w:r>
          </w:p>
        </w:tc>
      </w:tr>
      <w:tr w:rsidR="00040D04" w:rsidTr="00CE043B">
        <w:trPr>
          <w:trHeight w:val="397"/>
        </w:trPr>
        <w:tc>
          <w:tcPr>
            <w:tcW w:w="1570" w:type="pct"/>
            <w:shd w:val="clear" w:color="auto" w:fill="auto"/>
            <w:noWrap/>
            <w:vAlign w:val="center"/>
            <w:hideMark/>
          </w:tcPr>
          <w:p w:rsidR="00F47AC6" w:rsidRPr="00FC1106" w:rsidRDefault="002E29C1" w:rsidP="00CE043B">
            <w:pPr>
              <w:autoSpaceDE/>
              <w:autoSpaceDN/>
              <w:adjustRightInd/>
              <w:spacing w:after="0"/>
              <w:ind w:firstLineChars="100" w:firstLine="220"/>
              <w:jc w:val="left"/>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CUMBRIA</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58</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282</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7</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347</w:t>
            </w:r>
          </w:p>
        </w:tc>
        <w:tc>
          <w:tcPr>
            <w:tcW w:w="572" w:type="pct"/>
            <w:vAlign w:val="center"/>
          </w:tcPr>
          <w:p w:rsidR="00F47AC6" w:rsidRPr="00FC1106" w:rsidRDefault="002E29C1" w:rsidP="00F47AC6">
            <w:pPr>
              <w:spacing w:after="0"/>
              <w:jc w:val="center"/>
              <w:rPr>
                <w:rFonts w:ascii="Calibri" w:hAnsi="Calibri"/>
                <w:sz w:val="22"/>
                <w:szCs w:val="22"/>
              </w:rPr>
            </w:pPr>
            <w:r w:rsidRPr="00FC1106">
              <w:rPr>
                <w:rFonts w:ascii="Calibri" w:hAnsi="Calibri"/>
                <w:sz w:val="22"/>
                <w:szCs w:val="22"/>
              </w:rPr>
              <w:t>57.9%</w:t>
            </w:r>
          </w:p>
        </w:tc>
        <w:tc>
          <w:tcPr>
            <w:tcW w:w="572" w:type="pct"/>
            <w:vAlign w:val="center"/>
          </w:tcPr>
          <w:p w:rsidR="00F47AC6" w:rsidRPr="00FC1106" w:rsidRDefault="002E29C1" w:rsidP="00F47AC6">
            <w:pPr>
              <w:spacing w:after="0"/>
              <w:jc w:val="center"/>
              <w:rPr>
                <w:rFonts w:ascii="Calibri" w:hAnsi="Calibri"/>
                <w:sz w:val="22"/>
                <w:szCs w:val="22"/>
              </w:rPr>
            </w:pPr>
            <w:r w:rsidRPr="00FC1106">
              <w:rPr>
                <w:rFonts w:ascii="Calibri" w:hAnsi="Calibri"/>
                <w:sz w:val="22"/>
                <w:szCs w:val="22"/>
              </w:rPr>
              <w:t>44.9%</w:t>
            </w:r>
          </w:p>
        </w:tc>
      </w:tr>
      <w:tr w:rsidR="00040D04" w:rsidTr="00CE043B">
        <w:trPr>
          <w:trHeight w:val="397"/>
        </w:trPr>
        <w:tc>
          <w:tcPr>
            <w:tcW w:w="1570" w:type="pct"/>
            <w:shd w:val="clear" w:color="auto" w:fill="auto"/>
            <w:noWrap/>
            <w:vAlign w:val="center"/>
            <w:hideMark/>
          </w:tcPr>
          <w:p w:rsidR="00F47AC6" w:rsidRPr="00FC1106" w:rsidRDefault="002E29C1" w:rsidP="00CE043B">
            <w:pPr>
              <w:autoSpaceDE/>
              <w:autoSpaceDN/>
              <w:adjustRightInd/>
              <w:spacing w:after="0"/>
              <w:ind w:firstLineChars="100" w:firstLine="220"/>
              <w:jc w:val="left"/>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LANCASHIRE</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220</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191</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0</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411</w:t>
            </w:r>
          </w:p>
        </w:tc>
        <w:tc>
          <w:tcPr>
            <w:tcW w:w="572" w:type="pct"/>
            <w:vAlign w:val="center"/>
          </w:tcPr>
          <w:p w:rsidR="00F47AC6" w:rsidRPr="00FC1106" w:rsidRDefault="002E29C1" w:rsidP="00F47AC6">
            <w:pPr>
              <w:spacing w:after="0"/>
              <w:jc w:val="center"/>
              <w:rPr>
                <w:rFonts w:ascii="Calibri" w:hAnsi="Calibri"/>
                <w:sz w:val="22"/>
                <w:szCs w:val="22"/>
              </w:rPr>
            </w:pPr>
            <w:r w:rsidRPr="00FC1106">
              <w:rPr>
                <w:rFonts w:ascii="Calibri" w:hAnsi="Calibri"/>
                <w:sz w:val="22"/>
                <w:szCs w:val="22"/>
              </w:rPr>
              <w:t>39.2%</w:t>
            </w:r>
          </w:p>
        </w:tc>
        <w:tc>
          <w:tcPr>
            <w:tcW w:w="572" w:type="pct"/>
            <w:vAlign w:val="center"/>
          </w:tcPr>
          <w:p w:rsidR="00F47AC6" w:rsidRPr="00FC1106" w:rsidRDefault="002E29C1" w:rsidP="00F47AC6">
            <w:pPr>
              <w:spacing w:after="0"/>
              <w:jc w:val="center"/>
              <w:rPr>
                <w:rFonts w:ascii="Calibri" w:hAnsi="Calibri"/>
                <w:sz w:val="22"/>
                <w:szCs w:val="22"/>
              </w:rPr>
            </w:pPr>
            <w:r w:rsidRPr="00FC1106">
              <w:rPr>
                <w:rFonts w:ascii="Calibri" w:hAnsi="Calibri"/>
                <w:sz w:val="22"/>
                <w:szCs w:val="22"/>
              </w:rPr>
              <w:t>53.2%</w:t>
            </w:r>
          </w:p>
        </w:tc>
      </w:tr>
      <w:tr w:rsidR="00040D04" w:rsidTr="00CE043B">
        <w:trPr>
          <w:trHeight w:val="397"/>
        </w:trPr>
        <w:tc>
          <w:tcPr>
            <w:tcW w:w="1570" w:type="pct"/>
            <w:shd w:val="clear" w:color="auto" w:fill="auto"/>
            <w:noWrap/>
            <w:vAlign w:val="center"/>
            <w:hideMark/>
          </w:tcPr>
          <w:p w:rsidR="00F47AC6" w:rsidRPr="00FC1106" w:rsidRDefault="002E29C1" w:rsidP="00CE043B">
            <w:pPr>
              <w:autoSpaceDE/>
              <w:autoSpaceDN/>
              <w:adjustRightInd/>
              <w:spacing w:after="0"/>
              <w:ind w:firstLineChars="100" w:firstLine="220"/>
              <w:jc w:val="left"/>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NORTH YORKSHIRE</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0</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14</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0</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sz w:val="22"/>
                <w:szCs w:val="22"/>
                <w:lang w:eastAsia="en-GB"/>
              </w:rPr>
            </w:pPr>
            <w:r w:rsidRPr="00FC1106">
              <w:rPr>
                <w:rFonts w:ascii="Calibri" w:eastAsia="Times New Roman" w:hAnsi="Calibri" w:cs="Times New Roman"/>
                <w:sz w:val="22"/>
                <w:szCs w:val="22"/>
                <w:lang w:eastAsia="en-GB"/>
              </w:rPr>
              <w:t>14</w:t>
            </w:r>
          </w:p>
        </w:tc>
        <w:tc>
          <w:tcPr>
            <w:tcW w:w="572" w:type="pct"/>
            <w:vAlign w:val="center"/>
          </w:tcPr>
          <w:p w:rsidR="00F47AC6" w:rsidRPr="00FC1106" w:rsidRDefault="002E29C1" w:rsidP="00F47AC6">
            <w:pPr>
              <w:spacing w:after="0"/>
              <w:jc w:val="center"/>
              <w:rPr>
                <w:rFonts w:ascii="Calibri" w:hAnsi="Calibri"/>
                <w:sz w:val="22"/>
                <w:szCs w:val="22"/>
              </w:rPr>
            </w:pPr>
            <w:r w:rsidRPr="00FC1106">
              <w:rPr>
                <w:rFonts w:ascii="Calibri" w:hAnsi="Calibri"/>
                <w:sz w:val="22"/>
                <w:szCs w:val="22"/>
              </w:rPr>
              <w:t>2.9%</w:t>
            </w:r>
          </w:p>
        </w:tc>
        <w:tc>
          <w:tcPr>
            <w:tcW w:w="572" w:type="pct"/>
            <w:vAlign w:val="center"/>
          </w:tcPr>
          <w:p w:rsidR="00F47AC6" w:rsidRPr="00FC1106" w:rsidRDefault="002E29C1" w:rsidP="00F47AC6">
            <w:pPr>
              <w:spacing w:after="0"/>
              <w:jc w:val="center"/>
              <w:rPr>
                <w:rFonts w:ascii="Calibri" w:hAnsi="Calibri"/>
                <w:sz w:val="22"/>
                <w:szCs w:val="22"/>
              </w:rPr>
            </w:pPr>
            <w:r w:rsidRPr="00FC1106">
              <w:rPr>
                <w:rFonts w:ascii="Calibri" w:hAnsi="Calibri"/>
                <w:sz w:val="22"/>
                <w:szCs w:val="22"/>
              </w:rPr>
              <w:t>1.8%</w:t>
            </w:r>
          </w:p>
        </w:tc>
      </w:tr>
      <w:tr w:rsidR="00040D04" w:rsidTr="00CE043B">
        <w:trPr>
          <w:trHeight w:val="397"/>
        </w:trPr>
        <w:tc>
          <w:tcPr>
            <w:tcW w:w="1570" w:type="pct"/>
            <w:shd w:val="clear" w:color="auto" w:fill="auto"/>
            <w:noWrap/>
            <w:vAlign w:val="center"/>
            <w:hideMark/>
          </w:tcPr>
          <w:p w:rsidR="00F47AC6" w:rsidRPr="00FC1106" w:rsidRDefault="002E29C1" w:rsidP="00CE043B">
            <w:pPr>
              <w:autoSpaceDE/>
              <w:autoSpaceDN/>
              <w:adjustRightInd/>
              <w:spacing w:after="0"/>
              <w:jc w:val="left"/>
              <w:rPr>
                <w:rFonts w:ascii="Calibri" w:eastAsia="Times New Roman" w:hAnsi="Calibri" w:cs="Times New Roman"/>
                <w:b/>
                <w:bCs/>
                <w:sz w:val="22"/>
                <w:szCs w:val="22"/>
                <w:lang w:eastAsia="en-GB"/>
              </w:rPr>
            </w:pPr>
            <w:r w:rsidRPr="00FC1106">
              <w:rPr>
                <w:rFonts w:ascii="Calibri" w:eastAsia="Times New Roman" w:hAnsi="Calibri" w:cs="Times New Roman"/>
                <w:b/>
                <w:bCs/>
                <w:sz w:val="22"/>
                <w:szCs w:val="22"/>
                <w:lang w:eastAsia="en-GB"/>
              </w:rPr>
              <w:t>Grand Total</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b/>
                <w:bCs/>
                <w:sz w:val="22"/>
                <w:szCs w:val="22"/>
                <w:lang w:eastAsia="en-GB"/>
              </w:rPr>
            </w:pPr>
            <w:r w:rsidRPr="00FC1106">
              <w:rPr>
                <w:rFonts w:ascii="Calibri" w:eastAsia="Times New Roman" w:hAnsi="Calibri" w:cs="Times New Roman"/>
                <w:b/>
                <w:bCs/>
                <w:sz w:val="22"/>
                <w:szCs w:val="22"/>
                <w:lang w:eastAsia="en-GB"/>
              </w:rPr>
              <w:t>1907</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b/>
                <w:bCs/>
                <w:sz w:val="22"/>
                <w:szCs w:val="22"/>
                <w:lang w:eastAsia="en-GB"/>
              </w:rPr>
            </w:pPr>
            <w:r w:rsidRPr="00FC1106">
              <w:rPr>
                <w:rFonts w:ascii="Calibri" w:eastAsia="Times New Roman" w:hAnsi="Calibri" w:cs="Times New Roman"/>
                <w:b/>
                <w:bCs/>
                <w:sz w:val="22"/>
                <w:szCs w:val="22"/>
                <w:lang w:eastAsia="en-GB"/>
              </w:rPr>
              <w:t>1933</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b/>
                <w:bCs/>
                <w:sz w:val="22"/>
                <w:szCs w:val="22"/>
                <w:lang w:eastAsia="en-GB"/>
              </w:rPr>
            </w:pPr>
            <w:r w:rsidRPr="00FC1106">
              <w:rPr>
                <w:rFonts w:ascii="Calibri" w:eastAsia="Times New Roman" w:hAnsi="Calibri" w:cs="Times New Roman"/>
                <w:b/>
                <w:bCs/>
                <w:sz w:val="22"/>
                <w:szCs w:val="22"/>
                <w:lang w:eastAsia="en-GB"/>
              </w:rPr>
              <w:t>241</w:t>
            </w:r>
          </w:p>
        </w:tc>
        <w:tc>
          <w:tcPr>
            <w:tcW w:w="572" w:type="pct"/>
            <w:shd w:val="clear" w:color="auto" w:fill="auto"/>
            <w:noWrap/>
            <w:vAlign w:val="center"/>
            <w:hideMark/>
          </w:tcPr>
          <w:p w:rsidR="00F47AC6" w:rsidRPr="00FC1106" w:rsidRDefault="002E29C1" w:rsidP="00F47AC6">
            <w:pPr>
              <w:autoSpaceDE/>
              <w:autoSpaceDN/>
              <w:adjustRightInd/>
              <w:spacing w:after="0"/>
              <w:jc w:val="center"/>
              <w:rPr>
                <w:rFonts w:ascii="Calibri" w:eastAsia="Times New Roman" w:hAnsi="Calibri" w:cs="Times New Roman"/>
                <w:b/>
                <w:bCs/>
                <w:sz w:val="22"/>
                <w:szCs w:val="22"/>
                <w:lang w:eastAsia="en-GB"/>
              </w:rPr>
            </w:pPr>
            <w:r w:rsidRPr="00FC1106">
              <w:rPr>
                <w:rFonts w:ascii="Calibri" w:eastAsia="Times New Roman" w:hAnsi="Calibri" w:cs="Times New Roman"/>
                <w:b/>
                <w:bCs/>
                <w:sz w:val="22"/>
                <w:szCs w:val="22"/>
                <w:lang w:eastAsia="en-GB"/>
              </w:rPr>
              <w:t>4081</w:t>
            </w:r>
          </w:p>
        </w:tc>
        <w:tc>
          <w:tcPr>
            <w:tcW w:w="572" w:type="pct"/>
            <w:vAlign w:val="center"/>
          </w:tcPr>
          <w:p w:rsidR="00F47AC6" w:rsidRPr="00FC1106" w:rsidRDefault="002E29C1" w:rsidP="00F47AC6">
            <w:pPr>
              <w:spacing w:after="0"/>
              <w:jc w:val="center"/>
              <w:rPr>
                <w:rFonts w:ascii="Calibri" w:hAnsi="Calibri"/>
                <w:b/>
                <w:bCs/>
                <w:sz w:val="22"/>
                <w:szCs w:val="22"/>
              </w:rPr>
            </w:pPr>
            <w:r w:rsidRPr="00FC1106">
              <w:rPr>
                <w:rFonts w:ascii="Calibri" w:hAnsi="Calibri"/>
                <w:b/>
                <w:bCs/>
                <w:sz w:val="22"/>
                <w:szCs w:val="22"/>
              </w:rPr>
              <w:t>100.0%</w:t>
            </w:r>
          </w:p>
        </w:tc>
        <w:tc>
          <w:tcPr>
            <w:tcW w:w="572" w:type="pct"/>
            <w:vAlign w:val="center"/>
          </w:tcPr>
          <w:p w:rsidR="00F47AC6" w:rsidRPr="00FC1106" w:rsidRDefault="002E29C1" w:rsidP="00F47AC6">
            <w:pPr>
              <w:spacing w:after="0"/>
              <w:jc w:val="center"/>
              <w:rPr>
                <w:rFonts w:ascii="Calibri" w:hAnsi="Calibri"/>
                <w:b/>
                <w:bCs/>
                <w:sz w:val="22"/>
                <w:szCs w:val="22"/>
              </w:rPr>
            </w:pPr>
            <w:r w:rsidRPr="00FC1106">
              <w:rPr>
                <w:rFonts w:ascii="Calibri" w:hAnsi="Calibri"/>
                <w:b/>
                <w:bCs/>
                <w:sz w:val="22"/>
                <w:szCs w:val="22"/>
              </w:rPr>
              <w:t>100.0%</w:t>
            </w:r>
          </w:p>
        </w:tc>
      </w:tr>
    </w:tbl>
    <w:p w:rsidR="00F47AC6" w:rsidRPr="00FC1106" w:rsidRDefault="00AC7EBD" w:rsidP="00D20769">
      <w:pPr>
        <w:spacing w:after="0" w:line="259" w:lineRule="auto"/>
        <w:rPr>
          <w:rFonts w:cs="Arial"/>
          <w:b/>
        </w:rPr>
      </w:pPr>
    </w:p>
    <w:p w:rsidR="00E37E68" w:rsidRPr="00FC1106" w:rsidRDefault="002E29C1" w:rsidP="00E37E68">
      <w:pPr>
        <w:spacing w:after="0" w:line="259" w:lineRule="auto"/>
        <w:rPr>
          <w:rFonts w:cs="Arial"/>
        </w:rPr>
      </w:pPr>
      <w:r w:rsidRPr="00FC1106">
        <w:rPr>
          <w:rFonts w:cs="Arial"/>
        </w:rPr>
        <w:lastRenderedPageBreak/>
        <w:t xml:space="preserve">The table above showing Aug-18 delayed day numbers for the six main Lancashire providers also includes a local authority percentage breakdown for social care and for total days for each provider. </w:t>
      </w:r>
    </w:p>
    <w:p w:rsidR="00E37E68" w:rsidRPr="00FC1106" w:rsidRDefault="00AC7EBD" w:rsidP="00E37E68">
      <w:pPr>
        <w:spacing w:after="0" w:line="259" w:lineRule="auto"/>
        <w:rPr>
          <w:rFonts w:cs="Arial"/>
        </w:rPr>
      </w:pPr>
    </w:p>
    <w:p w:rsidR="00E37E68" w:rsidRPr="00FC1106" w:rsidRDefault="002E29C1" w:rsidP="00E37E68">
      <w:pPr>
        <w:spacing w:after="0" w:line="259" w:lineRule="auto"/>
        <w:rPr>
          <w:rFonts w:cs="Arial"/>
        </w:rPr>
      </w:pPr>
      <w:r w:rsidRPr="00FC1106">
        <w:rPr>
          <w:rFonts w:cs="Arial"/>
        </w:rPr>
        <w:t xml:space="preserve">Within Blackpool NHS Trust, Lancashire residents incurred 55.0% of the social care days and 52.3% of the total days. </w:t>
      </w:r>
    </w:p>
    <w:p w:rsidR="00E37E68" w:rsidRPr="00FC1106" w:rsidRDefault="00AC7EBD" w:rsidP="00E37E68">
      <w:pPr>
        <w:spacing w:after="0" w:line="259" w:lineRule="auto"/>
        <w:rPr>
          <w:rFonts w:cs="Arial"/>
        </w:rPr>
      </w:pPr>
    </w:p>
    <w:p w:rsidR="00E37E68" w:rsidRPr="00FC1106" w:rsidRDefault="002E29C1" w:rsidP="00E37E68">
      <w:pPr>
        <w:spacing w:after="0" w:line="259" w:lineRule="auto"/>
        <w:rPr>
          <w:rFonts w:cs="Arial"/>
        </w:rPr>
      </w:pPr>
      <w:r w:rsidRPr="00FC1106">
        <w:rPr>
          <w:rFonts w:cs="Arial"/>
        </w:rPr>
        <w:t xml:space="preserve">Within East Lancashire NHS Trust, Lancashire residents incurred 34.2% of the social care days and 59.6% of the total days. </w:t>
      </w:r>
    </w:p>
    <w:p w:rsidR="00E37E68" w:rsidRPr="00FC1106" w:rsidRDefault="00AC7EBD" w:rsidP="00E37E68">
      <w:pPr>
        <w:spacing w:after="0" w:line="259" w:lineRule="auto"/>
        <w:rPr>
          <w:rFonts w:cs="Arial"/>
        </w:rPr>
      </w:pPr>
    </w:p>
    <w:p w:rsidR="00E37E68" w:rsidRPr="00FC1106" w:rsidRDefault="002E29C1" w:rsidP="00E37E68">
      <w:pPr>
        <w:spacing w:after="0" w:line="259" w:lineRule="auto"/>
        <w:rPr>
          <w:rFonts w:cs="Arial"/>
        </w:rPr>
      </w:pPr>
      <w:r w:rsidRPr="00FC1106">
        <w:rPr>
          <w:rFonts w:cs="Arial"/>
        </w:rPr>
        <w:t xml:space="preserve">Within Lancashire Care NHS Foundation Trust, Lancashire residents incurred 0% of the social care days and 90.0% of the total days. </w:t>
      </w:r>
    </w:p>
    <w:p w:rsidR="00E37E68" w:rsidRPr="00FC1106" w:rsidRDefault="00AC7EBD" w:rsidP="00E37E68">
      <w:pPr>
        <w:spacing w:after="0" w:line="259" w:lineRule="auto"/>
        <w:rPr>
          <w:rFonts w:cs="Arial"/>
        </w:rPr>
      </w:pPr>
    </w:p>
    <w:p w:rsidR="00E37E68" w:rsidRPr="00FC1106" w:rsidRDefault="002E29C1" w:rsidP="00E37E68">
      <w:pPr>
        <w:spacing w:after="0" w:line="259" w:lineRule="auto"/>
        <w:rPr>
          <w:rFonts w:cs="Arial"/>
        </w:rPr>
      </w:pPr>
      <w:r w:rsidRPr="00FC1106">
        <w:rPr>
          <w:rFonts w:cs="Arial"/>
        </w:rPr>
        <w:t xml:space="preserve">Within Lancashire Teaching Hospitals NHS Trust, Lancashire residents incurred 94.2% of the social care days and 94.5% of the total days. </w:t>
      </w:r>
    </w:p>
    <w:p w:rsidR="00E37E68" w:rsidRPr="00FC1106" w:rsidRDefault="00AC7EBD" w:rsidP="00E37E68">
      <w:pPr>
        <w:spacing w:after="0" w:line="259" w:lineRule="auto"/>
        <w:rPr>
          <w:rFonts w:cs="Arial"/>
        </w:rPr>
      </w:pPr>
    </w:p>
    <w:p w:rsidR="00E37E68" w:rsidRPr="00FC1106" w:rsidRDefault="002E29C1" w:rsidP="00E37E68">
      <w:pPr>
        <w:spacing w:after="0" w:line="259" w:lineRule="auto"/>
        <w:rPr>
          <w:rFonts w:cs="Arial"/>
        </w:rPr>
      </w:pPr>
      <w:r w:rsidRPr="00FC1106">
        <w:rPr>
          <w:rFonts w:cs="Arial"/>
        </w:rPr>
        <w:t xml:space="preserve">Within Southport and Ormskirk NHS Trust, Lancashire residents incurred 100% of the social care days and 32.0% of the total days. </w:t>
      </w:r>
    </w:p>
    <w:p w:rsidR="00E37E68" w:rsidRPr="00FC1106" w:rsidRDefault="00AC7EBD" w:rsidP="00E37E68">
      <w:pPr>
        <w:spacing w:after="0" w:line="259" w:lineRule="auto"/>
        <w:rPr>
          <w:rFonts w:cs="Arial"/>
        </w:rPr>
      </w:pPr>
    </w:p>
    <w:p w:rsidR="00E37E68" w:rsidRPr="00FC1106" w:rsidRDefault="002E29C1" w:rsidP="009C20A2">
      <w:pPr>
        <w:spacing w:after="0" w:line="259" w:lineRule="auto"/>
        <w:rPr>
          <w:rFonts w:cs="Arial"/>
        </w:rPr>
      </w:pPr>
      <w:r w:rsidRPr="00FC1106">
        <w:rPr>
          <w:rFonts w:cs="Arial"/>
        </w:rPr>
        <w:t>Within University Hospitals of Morecambe Bay NHS Trust, Lancashire residents incurred 39.2% of the social care days and 53.2% of the total days.</w:t>
      </w:r>
    </w:p>
    <w:p w:rsidR="00E37E68" w:rsidRPr="00FC1106" w:rsidRDefault="00AC7EBD" w:rsidP="00E37E68">
      <w:pPr>
        <w:rPr>
          <w:lang w:eastAsia="en-GB"/>
        </w:rPr>
      </w:pPr>
    </w:p>
    <w:p w:rsidR="00D20769" w:rsidRPr="00FC1106" w:rsidRDefault="002E29C1" w:rsidP="0069758B">
      <w:pPr>
        <w:pStyle w:val="Heading2"/>
      </w:pPr>
      <w:bookmarkStart w:id="16" w:name="_Toc520456209"/>
      <w:r w:rsidRPr="00FC1106">
        <w:t>Provider Rank – All Residents</w:t>
      </w:r>
      <w:bookmarkEnd w:id="16"/>
    </w:p>
    <w:p w:rsidR="00D20769" w:rsidRPr="00753A6A" w:rsidRDefault="002E29C1" w:rsidP="00D20769">
      <w:pPr>
        <w:spacing w:before="120" w:line="259" w:lineRule="auto"/>
        <w:rPr>
          <w:rFonts w:cs="Arial"/>
        </w:rPr>
      </w:pPr>
      <w:r w:rsidRPr="00FC1106">
        <w:rPr>
          <w:rFonts w:cs="Arial"/>
        </w:rPr>
        <w:t xml:space="preserve">In </w:t>
      </w:r>
      <w:r>
        <w:rPr>
          <w:rFonts w:cs="Arial"/>
        </w:rPr>
        <w:t>Aug</w:t>
      </w:r>
      <w:r w:rsidRPr="00FC1106">
        <w:rPr>
          <w:rFonts w:cs="Arial"/>
        </w:rPr>
        <w:t xml:space="preserve">-18 within the </w:t>
      </w:r>
      <w:r w:rsidRPr="00753A6A">
        <w:rPr>
          <w:rFonts w:cs="Arial"/>
        </w:rPr>
        <w:t xml:space="preserve">six main providers accounting for most Lancashire delays, the number of delayed days recorded by each trust provider and the corresponding national ranking varied enormously (where 1=best and 225=worst).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7"/>
        <w:gridCol w:w="853"/>
        <w:gridCol w:w="853"/>
        <w:gridCol w:w="853"/>
        <w:gridCol w:w="853"/>
        <w:gridCol w:w="853"/>
        <w:gridCol w:w="852"/>
        <w:gridCol w:w="852"/>
        <w:gridCol w:w="854"/>
      </w:tblGrid>
      <w:tr w:rsidR="00040D04" w:rsidTr="00753A6A">
        <w:trPr>
          <w:trHeight w:val="300"/>
        </w:trPr>
        <w:tc>
          <w:tcPr>
            <w:tcW w:w="1213" w:type="pct"/>
            <w:shd w:val="clear" w:color="auto" w:fill="D9D9D9" w:themeFill="background1" w:themeFillShade="D9"/>
            <w:noWrap/>
            <w:vAlign w:val="bottom"/>
            <w:hideMark/>
          </w:tcPr>
          <w:p w:rsidR="008725D4" w:rsidRPr="008725D4" w:rsidRDefault="002E29C1" w:rsidP="00753A6A">
            <w:pPr>
              <w:autoSpaceDE/>
              <w:autoSpaceDN/>
              <w:adjustRightInd/>
              <w:spacing w:after="0"/>
              <w:jc w:val="center"/>
              <w:rPr>
                <w:rFonts w:ascii="Calibri" w:eastAsia="Times New Roman" w:hAnsi="Calibri" w:cs="Times New Roman"/>
                <w:b/>
                <w:sz w:val="20"/>
                <w:szCs w:val="22"/>
                <w:lang w:eastAsia="en-GB"/>
              </w:rPr>
            </w:pPr>
            <w:r w:rsidRPr="008725D4">
              <w:rPr>
                <w:rFonts w:ascii="Calibri" w:eastAsia="Times New Roman" w:hAnsi="Calibri" w:cs="Times New Roman"/>
                <w:b/>
                <w:sz w:val="20"/>
                <w:szCs w:val="22"/>
                <w:lang w:eastAsia="en-GB"/>
              </w:rPr>
              <w:t>Provider Org Name</w:t>
            </w:r>
          </w:p>
        </w:tc>
        <w:tc>
          <w:tcPr>
            <w:tcW w:w="473" w:type="pct"/>
            <w:shd w:val="clear" w:color="auto" w:fill="D9D9D9" w:themeFill="background1" w:themeFillShade="D9"/>
            <w:noWrap/>
            <w:vAlign w:val="bottom"/>
            <w:hideMark/>
          </w:tcPr>
          <w:p w:rsidR="008725D4" w:rsidRPr="008725D4" w:rsidRDefault="002E29C1" w:rsidP="00753A6A">
            <w:pPr>
              <w:autoSpaceDE/>
              <w:autoSpaceDN/>
              <w:adjustRightInd/>
              <w:spacing w:after="0"/>
              <w:jc w:val="center"/>
              <w:rPr>
                <w:rFonts w:ascii="Calibri" w:eastAsia="Times New Roman" w:hAnsi="Calibri" w:cs="Times New Roman"/>
                <w:b/>
                <w:sz w:val="20"/>
                <w:szCs w:val="22"/>
                <w:lang w:eastAsia="en-GB"/>
              </w:rPr>
            </w:pPr>
            <w:r w:rsidRPr="008725D4">
              <w:rPr>
                <w:rFonts w:ascii="Calibri" w:eastAsia="Times New Roman" w:hAnsi="Calibri" w:cs="Times New Roman"/>
                <w:b/>
                <w:sz w:val="20"/>
                <w:szCs w:val="22"/>
                <w:lang w:eastAsia="en-GB"/>
              </w:rPr>
              <w:t>Sum of NHS Days</w:t>
            </w:r>
          </w:p>
        </w:tc>
        <w:tc>
          <w:tcPr>
            <w:tcW w:w="473" w:type="pct"/>
            <w:shd w:val="clear" w:color="auto" w:fill="D9D9D9" w:themeFill="background1" w:themeFillShade="D9"/>
            <w:noWrap/>
            <w:vAlign w:val="bottom"/>
            <w:hideMark/>
          </w:tcPr>
          <w:p w:rsidR="008725D4" w:rsidRPr="008725D4" w:rsidRDefault="002E29C1" w:rsidP="00753A6A">
            <w:pPr>
              <w:autoSpaceDE/>
              <w:autoSpaceDN/>
              <w:adjustRightInd/>
              <w:spacing w:after="0"/>
              <w:jc w:val="center"/>
              <w:rPr>
                <w:rFonts w:ascii="Calibri" w:eastAsia="Times New Roman" w:hAnsi="Calibri" w:cs="Times New Roman"/>
                <w:b/>
                <w:sz w:val="20"/>
                <w:szCs w:val="22"/>
                <w:lang w:eastAsia="en-GB"/>
              </w:rPr>
            </w:pPr>
            <w:r w:rsidRPr="008725D4">
              <w:rPr>
                <w:rFonts w:ascii="Calibri" w:eastAsia="Times New Roman" w:hAnsi="Calibri" w:cs="Times New Roman"/>
                <w:b/>
                <w:sz w:val="20"/>
                <w:szCs w:val="22"/>
                <w:lang w:eastAsia="en-GB"/>
              </w:rPr>
              <w:t>Sum of Social Care Days</w:t>
            </w:r>
          </w:p>
        </w:tc>
        <w:tc>
          <w:tcPr>
            <w:tcW w:w="473" w:type="pct"/>
            <w:shd w:val="clear" w:color="auto" w:fill="D9D9D9" w:themeFill="background1" w:themeFillShade="D9"/>
            <w:noWrap/>
            <w:vAlign w:val="bottom"/>
            <w:hideMark/>
          </w:tcPr>
          <w:p w:rsidR="008725D4" w:rsidRPr="008725D4" w:rsidRDefault="002E29C1" w:rsidP="00753A6A">
            <w:pPr>
              <w:autoSpaceDE/>
              <w:autoSpaceDN/>
              <w:adjustRightInd/>
              <w:spacing w:after="0"/>
              <w:jc w:val="center"/>
              <w:rPr>
                <w:rFonts w:ascii="Calibri" w:eastAsia="Times New Roman" w:hAnsi="Calibri" w:cs="Times New Roman"/>
                <w:b/>
                <w:sz w:val="20"/>
                <w:szCs w:val="22"/>
                <w:lang w:eastAsia="en-GB"/>
              </w:rPr>
            </w:pPr>
            <w:r w:rsidRPr="008725D4">
              <w:rPr>
                <w:rFonts w:ascii="Calibri" w:eastAsia="Times New Roman" w:hAnsi="Calibri" w:cs="Times New Roman"/>
                <w:b/>
                <w:sz w:val="20"/>
                <w:szCs w:val="22"/>
                <w:lang w:eastAsia="en-GB"/>
              </w:rPr>
              <w:t>Sum of NHS and Social Care Days</w:t>
            </w:r>
          </w:p>
        </w:tc>
        <w:tc>
          <w:tcPr>
            <w:tcW w:w="473" w:type="pct"/>
            <w:shd w:val="clear" w:color="auto" w:fill="D9D9D9" w:themeFill="background1" w:themeFillShade="D9"/>
            <w:noWrap/>
            <w:vAlign w:val="bottom"/>
            <w:hideMark/>
          </w:tcPr>
          <w:p w:rsidR="008725D4" w:rsidRPr="008725D4" w:rsidRDefault="002E29C1" w:rsidP="00753A6A">
            <w:pPr>
              <w:autoSpaceDE/>
              <w:autoSpaceDN/>
              <w:adjustRightInd/>
              <w:spacing w:after="0"/>
              <w:jc w:val="center"/>
              <w:rPr>
                <w:rFonts w:ascii="Calibri" w:eastAsia="Times New Roman" w:hAnsi="Calibri" w:cs="Times New Roman"/>
                <w:b/>
                <w:sz w:val="20"/>
                <w:szCs w:val="22"/>
                <w:lang w:eastAsia="en-GB"/>
              </w:rPr>
            </w:pPr>
            <w:r w:rsidRPr="008725D4">
              <w:rPr>
                <w:rFonts w:ascii="Calibri" w:eastAsia="Times New Roman" w:hAnsi="Calibri" w:cs="Times New Roman"/>
                <w:b/>
                <w:sz w:val="20"/>
                <w:szCs w:val="22"/>
                <w:lang w:eastAsia="en-GB"/>
              </w:rPr>
              <w:t>Sum of Total Days</w:t>
            </w:r>
          </w:p>
        </w:tc>
        <w:tc>
          <w:tcPr>
            <w:tcW w:w="473" w:type="pct"/>
            <w:shd w:val="clear" w:color="auto" w:fill="D9D9D9" w:themeFill="background1" w:themeFillShade="D9"/>
            <w:noWrap/>
            <w:vAlign w:val="bottom"/>
            <w:hideMark/>
          </w:tcPr>
          <w:p w:rsidR="008725D4" w:rsidRPr="008725D4" w:rsidRDefault="002E29C1" w:rsidP="00753A6A">
            <w:pPr>
              <w:autoSpaceDE/>
              <w:autoSpaceDN/>
              <w:adjustRightInd/>
              <w:spacing w:after="0"/>
              <w:jc w:val="center"/>
              <w:rPr>
                <w:rFonts w:ascii="Calibri" w:eastAsia="Times New Roman" w:hAnsi="Calibri" w:cs="Times New Roman"/>
                <w:b/>
                <w:sz w:val="20"/>
                <w:szCs w:val="22"/>
                <w:lang w:eastAsia="en-GB"/>
              </w:rPr>
            </w:pPr>
            <w:r w:rsidRPr="008725D4">
              <w:rPr>
                <w:rFonts w:ascii="Calibri" w:eastAsia="Times New Roman" w:hAnsi="Calibri" w:cs="Times New Roman"/>
                <w:b/>
                <w:sz w:val="20"/>
                <w:szCs w:val="22"/>
                <w:lang w:eastAsia="en-GB"/>
              </w:rPr>
              <w:t>Rank of NHS Days</w:t>
            </w:r>
          </w:p>
        </w:tc>
        <w:tc>
          <w:tcPr>
            <w:tcW w:w="473" w:type="pct"/>
            <w:shd w:val="clear" w:color="auto" w:fill="D9D9D9" w:themeFill="background1" w:themeFillShade="D9"/>
            <w:noWrap/>
            <w:vAlign w:val="bottom"/>
            <w:hideMark/>
          </w:tcPr>
          <w:p w:rsidR="008725D4" w:rsidRPr="008725D4" w:rsidRDefault="002E29C1" w:rsidP="00753A6A">
            <w:pPr>
              <w:autoSpaceDE/>
              <w:autoSpaceDN/>
              <w:adjustRightInd/>
              <w:spacing w:after="0"/>
              <w:jc w:val="center"/>
              <w:rPr>
                <w:rFonts w:ascii="Calibri" w:eastAsia="Times New Roman" w:hAnsi="Calibri" w:cs="Times New Roman"/>
                <w:b/>
                <w:sz w:val="20"/>
                <w:szCs w:val="22"/>
                <w:lang w:eastAsia="en-GB"/>
              </w:rPr>
            </w:pPr>
            <w:r w:rsidRPr="008725D4">
              <w:rPr>
                <w:rFonts w:ascii="Calibri" w:eastAsia="Times New Roman" w:hAnsi="Calibri" w:cs="Times New Roman"/>
                <w:b/>
                <w:sz w:val="20"/>
                <w:szCs w:val="22"/>
                <w:lang w:eastAsia="en-GB"/>
              </w:rPr>
              <w:t>Rank of Social Care Days</w:t>
            </w:r>
          </w:p>
        </w:tc>
        <w:tc>
          <w:tcPr>
            <w:tcW w:w="473" w:type="pct"/>
            <w:shd w:val="clear" w:color="auto" w:fill="D9D9D9" w:themeFill="background1" w:themeFillShade="D9"/>
            <w:noWrap/>
            <w:vAlign w:val="bottom"/>
            <w:hideMark/>
          </w:tcPr>
          <w:p w:rsidR="008725D4" w:rsidRPr="008725D4" w:rsidRDefault="002E29C1" w:rsidP="00753A6A">
            <w:pPr>
              <w:autoSpaceDE/>
              <w:autoSpaceDN/>
              <w:adjustRightInd/>
              <w:spacing w:after="0"/>
              <w:jc w:val="center"/>
              <w:rPr>
                <w:rFonts w:ascii="Calibri" w:eastAsia="Times New Roman" w:hAnsi="Calibri" w:cs="Times New Roman"/>
                <w:b/>
                <w:sz w:val="20"/>
                <w:szCs w:val="22"/>
                <w:lang w:eastAsia="en-GB"/>
              </w:rPr>
            </w:pPr>
            <w:r w:rsidRPr="008725D4">
              <w:rPr>
                <w:rFonts w:ascii="Calibri" w:eastAsia="Times New Roman" w:hAnsi="Calibri" w:cs="Times New Roman"/>
                <w:b/>
                <w:sz w:val="20"/>
                <w:szCs w:val="22"/>
                <w:lang w:eastAsia="en-GB"/>
              </w:rPr>
              <w:t>Rank of NHS and Social Care Days</w:t>
            </w:r>
          </w:p>
        </w:tc>
        <w:tc>
          <w:tcPr>
            <w:tcW w:w="474" w:type="pct"/>
            <w:shd w:val="clear" w:color="auto" w:fill="D9D9D9" w:themeFill="background1" w:themeFillShade="D9"/>
            <w:noWrap/>
            <w:vAlign w:val="bottom"/>
            <w:hideMark/>
          </w:tcPr>
          <w:p w:rsidR="008725D4" w:rsidRPr="008725D4" w:rsidRDefault="002E29C1" w:rsidP="00753A6A">
            <w:pPr>
              <w:autoSpaceDE/>
              <w:autoSpaceDN/>
              <w:adjustRightInd/>
              <w:spacing w:after="0"/>
              <w:jc w:val="center"/>
              <w:rPr>
                <w:rFonts w:ascii="Calibri" w:eastAsia="Times New Roman" w:hAnsi="Calibri" w:cs="Times New Roman"/>
                <w:b/>
                <w:sz w:val="20"/>
                <w:szCs w:val="22"/>
                <w:lang w:eastAsia="en-GB"/>
              </w:rPr>
            </w:pPr>
            <w:r w:rsidRPr="008725D4">
              <w:rPr>
                <w:rFonts w:ascii="Calibri" w:eastAsia="Times New Roman" w:hAnsi="Calibri" w:cs="Times New Roman"/>
                <w:b/>
                <w:sz w:val="20"/>
                <w:szCs w:val="22"/>
                <w:lang w:eastAsia="en-GB"/>
              </w:rPr>
              <w:t>Rank of Total Days</w:t>
            </w:r>
          </w:p>
        </w:tc>
      </w:tr>
      <w:tr w:rsidR="00040D04" w:rsidTr="00753A6A">
        <w:trPr>
          <w:trHeight w:val="300"/>
        </w:trPr>
        <w:tc>
          <w:tcPr>
            <w:tcW w:w="1213" w:type="pct"/>
            <w:shd w:val="clear" w:color="auto" w:fill="auto"/>
            <w:noWrap/>
            <w:vAlign w:val="bottom"/>
            <w:hideMark/>
          </w:tcPr>
          <w:p w:rsidR="008725D4" w:rsidRPr="008725D4" w:rsidRDefault="002E29C1" w:rsidP="008725D4">
            <w:pPr>
              <w:autoSpaceDE/>
              <w:autoSpaceDN/>
              <w:adjustRightInd/>
              <w:spacing w:after="0"/>
              <w:jc w:val="left"/>
              <w:rPr>
                <w:rFonts w:ascii="Calibri" w:eastAsia="Times New Roman" w:hAnsi="Calibri" w:cs="Times New Roman"/>
                <w:sz w:val="20"/>
                <w:szCs w:val="22"/>
                <w:lang w:eastAsia="en-GB"/>
              </w:rPr>
            </w:pPr>
            <w:r w:rsidRPr="008725D4">
              <w:rPr>
                <w:rFonts w:ascii="Calibri" w:eastAsia="Times New Roman" w:hAnsi="Calibri" w:cs="Times New Roman"/>
                <w:sz w:val="20"/>
                <w:szCs w:val="22"/>
                <w:lang w:eastAsia="en-GB"/>
              </w:rPr>
              <w:t>BLACKPOOL TEACHING HOSPITALS NHS FOUNDATION TRUST</w:t>
            </w:r>
          </w:p>
        </w:tc>
        <w:tc>
          <w:tcPr>
            <w:tcW w:w="473" w:type="pct"/>
            <w:shd w:val="clear" w:color="auto" w:fill="auto"/>
            <w:noWrap/>
            <w:vAlign w:val="center"/>
            <w:hideMark/>
          </w:tcPr>
          <w:p w:rsidR="008725D4" w:rsidRPr="008725D4" w:rsidRDefault="002E29C1" w:rsidP="00753A6A">
            <w:pPr>
              <w:autoSpaceDE/>
              <w:autoSpaceDN/>
              <w:adjustRightInd/>
              <w:spacing w:after="0"/>
              <w:jc w:val="center"/>
              <w:rPr>
                <w:rFonts w:ascii="Calibri" w:eastAsia="Times New Roman" w:hAnsi="Calibri" w:cs="Times New Roman"/>
                <w:sz w:val="22"/>
                <w:szCs w:val="22"/>
                <w:lang w:eastAsia="en-GB"/>
              </w:rPr>
            </w:pPr>
            <w:r w:rsidRPr="008725D4">
              <w:rPr>
                <w:rFonts w:ascii="Calibri" w:eastAsia="Times New Roman" w:hAnsi="Calibri" w:cs="Times New Roman"/>
                <w:sz w:val="22"/>
                <w:szCs w:val="22"/>
                <w:lang w:eastAsia="en-GB"/>
              </w:rPr>
              <w:t>293</w:t>
            </w:r>
          </w:p>
        </w:tc>
        <w:tc>
          <w:tcPr>
            <w:tcW w:w="473" w:type="pct"/>
            <w:shd w:val="clear" w:color="auto" w:fill="auto"/>
            <w:noWrap/>
            <w:vAlign w:val="center"/>
            <w:hideMark/>
          </w:tcPr>
          <w:p w:rsidR="008725D4" w:rsidRPr="008725D4" w:rsidRDefault="002E29C1" w:rsidP="00753A6A">
            <w:pPr>
              <w:autoSpaceDE/>
              <w:autoSpaceDN/>
              <w:adjustRightInd/>
              <w:spacing w:after="0"/>
              <w:jc w:val="center"/>
              <w:rPr>
                <w:rFonts w:ascii="Calibri" w:eastAsia="Times New Roman" w:hAnsi="Calibri" w:cs="Times New Roman"/>
                <w:sz w:val="22"/>
                <w:szCs w:val="22"/>
                <w:lang w:eastAsia="en-GB"/>
              </w:rPr>
            </w:pPr>
            <w:r w:rsidRPr="008725D4">
              <w:rPr>
                <w:rFonts w:ascii="Calibri" w:eastAsia="Times New Roman" w:hAnsi="Calibri" w:cs="Times New Roman"/>
                <w:sz w:val="22"/>
                <w:szCs w:val="22"/>
                <w:lang w:eastAsia="en-GB"/>
              </w:rPr>
              <w:t>318</w:t>
            </w:r>
          </w:p>
        </w:tc>
        <w:tc>
          <w:tcPr>
            <w:tcW w:w="473" w:type="pct"/>
            <w:shd w:val="clear" w:color="auto" w:fill="auto"/>
            <w:noWrap/>
            <w:vAlign w:val="center"/>
            <w:hideMark/>
          </w:tcPr>
          <w:p w:rsidR="008725D4" w:rsidRPr="008725D4" w:rsidRDefault="002E29C1" w:rsidP="00753A6A">
            <w:pPr>
              <w:autoSpaceDE/>
              <w:autoSpaceDN/>
              <w:adjustRightInd/>
              <w:spacing w:after="0"/>
              <w:jc w:val="center"/>
              <w:rPr>
                <w:rFonts w:ascii="Calibri" w:eastAsia="Times New Roman" w:hAnsi="Calibri" w:cs="Times New Roman"/>
                <w:sz w:val="22"/>
                <w:szCs w:val="22"/>
                <w:lang w:eastAsia="en-GB"/>
              </w:rPr>
            </w:pPr>
            <w:r w:rsidRPr="008725D4">
              <w:rPr>
                <w:rFonts w:ascii="Calibri" w:eastAsia="Times New Roman" w:hAnsi="Calibri" w:cs="Times New Roman"/>
                <w:sz w:val="22"/>
                <w:szCs w:val="22"/>
                <w:lang w:eastAsia="en-GB"/>
              </w:rPr>
              <w:t>99</w:t>
            </w:r>
          </w:p>
        </w:tc>
        <w:tc>
          <w:tcPr>
            <w:tcW w:w="473" w:type="pct"/>
            <w:shd w:val="clear" w:color="auto" w:fill="auto"/>
            <w:noWrap/>
            <w:vAlign w:val="center"/>
            <w:hideMark/>
          </w:tcPr>
          <w:p w:rsidR="008725D4" w:rsidRPr="008725D4" w:rsidRDefault="002E29C1" w:rsidP="00753A6A">
            <w:pPr>
              <w:autoSpaceDE/>
              <w:autoSpaceDN/>
              <w:adjustRightInd/>
              <w:spacing w:after="0"/>
              <w:jc w:val="center"/>
              <w:rPr>
                <w:rFonts w:ascii="Calibri" w:eastAsia="Times New Roman" w:hAnsi="Calibri" w:cs="Times New Roman"/>
                <w:sz w:val="22"/>
                <w:szCs w:val="22"/>
                <w:lang w:eastAsia="en-GB"/>
              </w:rPr>
            </w:pPr>
            <w:r w:rsidRPr="008725D4">
              <w:rPr>
                <w:rFonts w:ascii="Calibri" w:eastAsia="Times New Roman" w:hAnsi="Calibri" w:cs="Times New Roman"/>
                <w:sz w:val="22"/>
                <w:szCs w:val="22"/>
                <w:lang w:eastAsia="en-GB"/>
              </w:rPr>
              <w:t>710</w:t>
            </w:r>
          </w:p>
        </w:tc>
        <w:tc>
          <w:tcPr>
            <w:tcW w:w="473" w:type="pct"/>
            <w:shd w:val="clear" w:color="000000" w:fill="FFE683"/>
            <w:noWrap/>
            <w:vAlign w:val="center"/>
            <w:hideMark/>
          </w:tcPr>
          <w:p w:rsidR="008725D4" w:rsidRPr="008725D4" w:rsidRDefault="002E29C1" w:rsidP="00753A6A">
            <w:pPr>
              <w:autoSpaceDE/>
              <w:autoSpaceDN/>
              <w:adjustRightInd/>
              <w:spacing w:after="0"/>
              <w:jc w:val="center"/>
              <w:rPr>
                <w:rFonts w:ascii="Calibri" w:eastAsia="Times New Roman" w:hAnsi="Calibri" w:cs="Times New Roman"/>
                <w:sz w:val="22"/>
                <w:szCs w:val="22"/>
                <w:lang w:eastAsia="en-GB"/>
              </w:rPr>
            </w:pPr>
            <w:r w:rsidRPr="008725D4">
              <w:rPr>
                <w:rFonts w:ascii="Calibri" w:eastAsia="Times New Roman" w:hAnsi="Calibri" w:cs="Times New Roman"/>
                <w:sz w:val="22"/>
                <w:szCs w:val="22"/>
                <w:lang w:eastAsia="en-GB"/>
              </w:rPr>
              <w:t>117</w:t>
            </w:r>
          </w:p>
        </w:tc>
        <w:tc>
          <w:tcPr>
            <w:tcW w:w="473" w:type="pct"/>
            <w:shd w:val="clear" w:color="000000" w:fill="FBA176"/>
            <w:noWrap/>
            <w:vAlign w:val="center"/>
            <w:hideMark/>
          </w:tcPr>
          <w:p w:rsidR="008725D4" w:rsidRPr="008725D4" w:rsidRDefault="002E29C1" w:rsidP="00753A6A">
            <w:pPr>
              <w:autoSpaceDE/>
              <w:autoSpaceDN/>
              <w:adjustRightInd/>
              <w:spacing w:after="0"/>
              <w:jc w:val="center"/>
              <w:rPr>
                <w:rFonts w:ascii="Calibri" w:eastAsia="Times New Roman" w:hAnsi="Calibri" w:cs="Times New Roman"/>
                <w:sz w:val="22"/>
                <w:szCs w:val="22"/>
                <w:lang w:eastAsia="en-GB"/>
              </w:rPr>
            </w:pPr>
            <w:r w:rsidRPr="008725D4">
              <w:rPr>
                <w:rFonts w:ascii="Calibri" w:eastAsia="Times New Roman" w:hAnsi="Calibri" w:cs="Times New Roman"/>
                <w:sz w:val="22"/>
                <w:szCs w:val="22"/>
                <w:lang w:eastAsia="en-GB"/>
              </w:rPr>
              <w:t>177</w:t>
            </w:r>
          </w:p>
        </w:tc>
        <w:tc>
          <w:tcPr>
            <w:tcW w:w="473" w:type="pct"/>
            <w:shd w:val="clear" w:color="000000" w:fill="FB8F73"/>
            <w:noWrap/>
            <w:vAlign w:val="center"/>
            <w:hideMark/>
          </w:tcPr>
          <w:p w:rsidR="008725D4" w:rsidRPr="008725D4" w:rsidRDefault="002E29C1" w:rsidP="00753A6A">
            <w:pPr>
              <w:autoSpaceDE/>
              <w:autoSpaceDN/>
              <w:adjustRightInd/>
              <w:spacing w:after="0"/>
              <w:jc w:val="center"/>
              <w:rPr>
                <w:rFonts w:ascii="Calibri" w:eastAsia="Times New Roman" w:hAnsi="Calibri" w:cs="Times New Roman"/>
                <w:sz w:val="22"/>
                <w:szCs w:val="22"/>
                <w:lang w:eastAsia="en-GB"/>
              </w:rPr>
            </w:pPr>
            <w:r w:rsidRPr="008725D4">
              <w:rPr>
                <w:rFonts w:ascii="Calibri" w:eastAsia="Times New Roman" w:hAnsi="Calibri" w:cs="Times New Roman"/>
                <w:sz w:val="22"/>
                <w:szCs w:val="22"/>
                <w:lang w:eastAsia="en-GB"/>
              </w:rPr>
              <w:t>192</w:t>
            </w:r>
          </w:p>
        </w:tc>
        <w:tc>
          <w:tcPr>
            <w:tcW w:w="474" w:type="pct"/>
            <w:shd w:val="clear" w:color="000000" w:fill="FDC67D"/>
            <w:noWrap/>
            <w:vAlign w:val="center"/>
            <w:hideMark/>
          </w:tcPr>
          <w:p w:rsidR="008725D4" w:rsidRPr="008725D4" w:rsidRDefault="002E29C1" w:rsidP="00753A6A">
            <w:pPr>
              <w:autoSpaceDE/>
              <w:autoSpaceDN/>
              <w:adjustRightInd/>
              <w:spacing w:after="0"/>
              <w:jc w:val="center"/>
              <w:rPr>
                <w:rFonts w:ascii="Calibri" w:eastAsia="Times New Roman" w:hAnsi="Calibri" w:cs="Times New Roman"/>
                <w:sz w:val="22"/>
                <w:szCs w:val="22"/>
                <w:lang w:eastAsia="en-GB"/>
              </w:rPr>
            </w:pPr>
            <w:r w:rsidRPr="008725D4">
              <w:rPr>
                <w:rFonts w:ascii="Calibri" w:eastAsia="Times New Roman" w:hAnsi="Calibri" w:cs="Times New Roman"/>
                <w:sz w:val="22"/>
                <w:szCs w:val="22"/>
                <w:lang w:eastAsia="en-GB"/>
              </w:rPr>
              <w:t>145</w:t>
            </w:r>
          </w:p>
        </w:tc>
      </w:tr>
      <w:tr w:rsidR="00040D04" w:rsidTr="00753A6A">
        <w:trPr>
          <w:trHeight w:val="300"/>
        </w:trPr>
        <w:tc>
          <w:tcPr>
            <w:tcW w:w="1213" w:type="pct"/>
            <w:shd w:val="clear" w:color="auto" w:fill="auto"/>
            <w:noWrap/>
            <w:vAlign w:val="bottom"/>
            <w:hideMark/>
          </w:tcPr>
          <w:p w:rsidR="008725D4" w:rsidRPr="008725D4" w:rsidRDefault="002E29C1" w:rsidP="008725D4">
            <w:pPr>
              <w:autoSpaceDE/>
              <w:autoSpaceDN/>
              <w:adjustRightInd/>
              <w:spacing w:after="0"/>
              <w:jc w:val="left"/>
              <w:rPr>
                <w:rFonts w:ascii="Calibri" w:eastAsia="Times New Roman" w:hAnsi="Calibri" w:cs="Times New Roman"/>
                <w:sz w:val="20"/>
                <w:szCs w:val="22"/>
                <w:lang w:eastAsia="en-GB"/>
              </w:rPr>
            </w:pPr>
            <w:r w:rsidRPr="008725D4">
              <w:rPr>
                <w:rFonts w:ascii="Calibri" w:eastAsia="Times New Roman" w:hAnsi="Calibri" w:cs="Times New Roman"/>
                <w:sz w:val="20"/>
                <w:szCs w:val="22"/>
                <w:lang w:eastAsia="en-GB"/>
              </w:rPr>
              <w:t>EAST LANCASHIRE HOSPITALS NHS TRUST</w:t>
            </w:r>
          </w:p>
        </w:tc>
        <w:tc>
          <w:tcPr>
            <w:tcW w:w="473" w:type="pct"/>
            <w:shd w:val="clear" w:color="auto" w:fill="auto"/>
            <w:noWrap/>
            <w:vAlign w:val="center"/>
            <w:hideMark/>
          </w:tcPr>
          <w:p w:rsidR="008725D4" w:rsidRPr="008725D4" w:rsidRDefault="002E29C1" w:rsidP="00753A6A">
            <w:pPr>
              <w:autoSpaceDE/>
              <w:autoSpaceDN/>
              <w:adjustRightInd/>
              <w:spacing w:after="0"/>
              <w:jc w:val="center"/>
              <w:rPr>
                <w:rFonts w:ascii="Calibri" w:eastAsia="Times New Roman" w:hAnsi="Calibri" w:cs="Times New Roman"/>
                <w:sz w:val="22"/>
                <w:szCs w:val="22"/>
                <w:lang w:eastAsia="en-GB"/>
              </w:rPr>
            </w:pPr>
            <w:r w:rsidRPr="008725D4">
              <w:rPr>
                <w:rFonts w:ascii="Calibri" w:eastAsia="Times New Roman" w:hAnsi="Calibri" w:cs="Times New Roman"/>
                <w:sz w:val="22"/>
                <w:szCs w:val="22"/>
                <w:lang w:eastAsia="en-GB"/>
              </w:rPr>
              <w:t>542</w:t>
            </w:r>
          </w:p>
        </w:tc>
        <w:tc>
          <w:tcPr>
            <w:tcW w:w="473" w:type="pct"/>
            <w:shd w:val="clear" w:color="auto" w:fill="auto"/>
            <w:noWrap/>
            <w:vAlign w:val="center"/>
            <w:hideMark/>
          </w:tcPr>
          <w:p w:rsidR="008725D4" w:rsidRPr="008725D4" w:rsidRDefault="002E29C1" w:rsidP="00753A6A">
            <w:pPr>
              <w:autoSpaceDE/>
              <w:autoSpaceDN/>
              <w:adjustRightInd/>
              <w:spacing w:after="0"/>
              <w:jc w:val="center"/>
              <w:rPr>
                <w:rFonts w:ascii="Calibri" w:eastAsia="Times New Roman" w:hAnsi="Calibri" w:cs="Times New Roman"/>
                <w:sz w:val="22"/>
                <w:szCs w:val="22"/>
                <w:lang w:eastAsia="en-GB"/>
              </w:rPr>
            </w:pPr>
            <w:r w:rsidRPr="008725D4">
              <w:rPr>
                <w:rFonts w:ascii="Calibri" w:eastAsia="Times New Roman" w:hAnsi="Calibri" w:cs="Times New Roman"/>
                <w:sz w:val="22"/>
                <w:szCs w:val="22"/>
                <w:lang w:eastAsia="en-GB"/>
              </w:rPr>
              <w:t>380</w:t>
            </w:r>
          </w:p>
        </w:tc>
        <w:tc>
          <w:tcPr>
            <w:tcW w:w="473" w:type="pct"/>
            <w:shd w:val="clear" w:color="auto" w:fill="auto"/>
            <w:noWrap/>
            <w:vAlign w:val="center"/>
            <w:hideMark/>
          </w:tcPr>
          <w:p w:rsidR="008725D4" w:rsidRPr="008725D4" w:rsidRDefault="002E29C1" w:rsidP="00753A6A">
            <w:pPr>
              <w:autoSpaceDE/>
              <w:autoSpaceDN/>
              <w:adjustRightInd/>
              <w:spacing w:after="0"/>
              <w:jc w:val="center"/>
              <w:rPr>
                <w:rFonts w:ascii="Calibri" w:eastAsia="Times New Roman" w:hAnsi="Calibri" w:cs="Times New Roman"/>
                <w:sz w:val="22"/>
                <w:szCs w:val="22"/>
                <w:lang w:eastAsia="en-GB"/>
              </w:rPr>
            </w:pPr>
            <w:r w:rsidRPr="008725D4">
              <w:rPr>
                <w:rFonts w:ascii="Calibri" w:eastAsia="Times New Roman" w:hAnsi="Calibri" w:cs="Times New Roman"/>
                <w:sz w:val="22"/>
                <w:szCs w:val="22"/>
                <w:lang w:eastAsia="en-GB"/>
              </w:rPr>
              <w:t>2</w:t>
            </w:r>
          </w:p>
        </w:tc>
        <w:tc>
          <w:tcPr>
            <w:tcW w:w="473" w:type="pct"/>
            <w:shd w:val="clear" w:color="auto" w:fill="auto"/>
            <w:noWrap/>
            <w:vAlign w:val="center"/>
            <w:hideMark/>
          </w:tcPr>
          <w:p w:rsidR="008725D4" w:rsidRPr="008725D4" w:rsidRDefault="002E29C1" w:rsidP="00753A6A">
            <w:pPr>
              <w:autoSpaceDE/>
              <w:autoSpaceDN/>
              <w:adjustRightInd/>
              <w:spacing w:after="0"/>
              <w:jc w:val="center"/>
              <w:rPr>
                <w:rFonts w:ascii="Calibri" w:eastAsia="Times New Roman" w:hAnsi="Calibri" w:cs="Times New Roman"/>
                <w:sz w:val="22"/>
                <w:szCs w:val="22"/>
                <w:lang w:eastAsia="en-GB"/>
              </w:rPr>
            </w:pPr>
            <w:r w:rsidRPr="008725D4">
              <w:rPr>
                <w:rFonts w:ascii="Calibri" w:eastAsia="Times New Roman" w:hAnsi="Calibri" w:cs="Times New Roman"/>
                <w:sz w:val="22"/>
                <w:szCs w:val="22"/>
                <w:lang w:eastAsia="en-GB"/>
              </w:rPr>
              <w:t>924</w:t>
            </w:r>
          </w:p>
        </w:tc>
        <w:tc>
          <w:tcPr>
            <w:tcW w:w="473" w:type="pct"/>
            <w:shd w:val="clear" w:color="000000" w:fill="FCAA78"/>
            <w:noWrap/>
            <w:vAlign w:val="center"/>
            <w:hideMark/>
          </w:tcPr>
          <w:p w:rsidR="008725D4" w:rsidRPr="008725D4" w:rsidRDefault="002E29C1" w:rsidP="00753A6A">
            <w:pPr>
              <w:autoSpaceDE/>
              <w:autoSpaceDN/>
              <w:adjustRightInd/>
              <w:spacing w:after="0"/>
              <w:jc w:val="center"/>
              <w:rPr>
                <w:rFonts w:ascii="Calibri" w:eastAsia="Times New Roman" w:hAnsi="Calibri" w:cs="Times New Roman"/>
                <w:sz w:val="22"/>
                <w:szCs w:val="22"/>
                <w:lang w:eastAsia="en-GB"/>
              </w:rPr>
            </w:pPr>
            <w:r w:rsidRPr="008725D4">
              <w:rPr>
                <w:rFonts w:ascii="Calibri" w:eastAsia="Times New Roman" w:hAnsi="Calibri" w:cs="Times New Roman"/>
                <w:sz w:val="22"/>
                <w:szCs w:val="22"/>
                <w:lang w:eastAsia="en-GB"/>
              </w:rPr>
              <w:t>169</w:t>
            </w:r>
          </w:p>
        </w:tc>
        <w:tc>
          <w:tcPr>
            <w:tcW w:w="473" w:type="pct"/>
            <w:shd w:val="clear" w:color="000000" w:fill="FB9474"/>
            <w:noWrap/>
            <w:vAlign w:val="center"/>
            <w:hideMark/>
          </w:tcPr>
          <w:p w:rsidR="008725D4" w:rsidRPr="008725D4" w:rsidRDefault="002E29C1" w:rsidP="00753A6A">
            <w:pPr>
              <w:autoSpaceDE/>
              <w:autoSpaceDN/>
              <w:adjustRightInd/>
              <w:spacing w:after="0"/>
              <w:jc w:val="center"/>
              <w:rPr>
                <w:rFonts w:ascii="Calibri" w:eastAsia="Times New Roman" w:hAnsi="Calibri" w:cs="Times New Roman"/>
                <w:sz w:val="22"/>
                <w:szCs w:val="22"/>
                <w:lang w:eastAsia="en-GB"/>
              </w:rPr>
            </w:pPr>
            <w:r w:rsidRPr="008725D4">
              <w:rPr>
                <w:rFonts w:ascii="Calibri" w:eastAsia="Times New Roman" w:hAnsi="Calibri" w:cs="Times New Roman"/>
                <w:sz w:val="22"/>
                <w:szCs w:val="22"/>
                <w:lang w:eastAsia="en-GB"/>
              </w:rPr>
              <w:t>188</w:t>
            </w:r>
          </w:p>
        </w:tc>
        <w:tc>
          <w:tcPr>
            <w:tcW w:w="473" w:type="pct"/>
            <w:shd w:val="clear" w:color="000000" w:fill="FAE983"/>
            <w:noWrap/>
            <w:vAlign w:val="center"/>
            <w:hideMark/>
          </w:tcPr>
          <w:p w:rsidR="008725D4" w:rsidRPr="008725D4" w:rsidRDefault="002E29C1" w:rsidP="00753A6A">
            <w:pPr>
              <w:autoSpaceDE/>
              <w:autoSpaceDN/>
              <w:adjustRightInd/>
              <w:spacing w:after="0"/>
              <w:jc w:val="center"/>
              <w:rPr>
                <w:rFonts w:ascii="Calibri" w:eastAsia="Times New Roman" w:hAnsi="Calibri" w:cs="Times New Roman"/>
                <w:sz w:val="22"/>
                <w:szCs w:val="22"/>
                <w:lang w:eastAsia="en-GB"/>
              </w:rPr>
            </w:pPr>
            <w:r w:rsidRPr="008725D4">
              <w:rPr>
                <w:rFonts w:ascii="Calibri" w:eastAsia="Times New Roman" w:hAnsi="Calibri" w:cs="Times New Roman"/>
                <w:sz w:val="22"/>
                <w:szCs w:val="22"/>
                <w:lang w:eastAsia="en-GB"/>
              </w:rPr>
              <w:t>109</w:t>
            </w:r>
          </w:p>
        </w:tc>
        <w:tc>
          <w:tcPr>
            <w:tcW w:w="474" w:type="pct"/>
            <w:shd w:val="clear" w:color="000000" w:fill="FCA477"/>
            <w:noWrap/>
            <w:vAlign w:val="center"/>
            <w:hideMark/>
          </w:tcPr>
          <w:p w:rsidR="008725D4" w:rsidRPr="008725D4" w:rsidRDefault="002E29C1" w:rsidP="00753A6A">
            <w:pPr>
              <w:autoSpaceDE/>
              <w:autoSpaceDN/>
              <w:adjustRightInd/>
              <w:spacing w:after="0"/>
              <w:jc w:val="center"/>
              <w:rPr>
                <w:rFonts w:ascii="Calibri" w:eastAsia="Times New Roman" w:hAnsi="Calibri" w:cs="Times New Roman"/>
                <w:sz w:val="22"/>
                <w:szCs w:val="22"/>
                <w:lang w:eastAsia="en-GB"/>
              </w:rPr>
            </w:pPr>
            <w:r w:rsidRPr="008725D4">
              <w:rPr>
                <w:rFonts w:ascii="Calibri" w:eastAsia="Times New Roman" w:hAnsi="Calibri" w:cs="Times New Roman"/>
                <w:sz w:val="22"/>
                <w:szCs w:val="22"/>
                <w:lang w:eastAsia="en-GB"/>
              </w:rPr>
              <w:t>174</w:t>
            </w:r>
          </w:p>
        </w:tc>
      </w:tr>
      <w:tr w:rsidR="00040D04" w:rsidTr="00753A6A">
        <w:trPr>
          <w:trHeight w:val="300"/>
        </w:trPr>
        <w:tc>
          <w:tcPr>
            <w:tcW w:w="1213" w:type="pct"/>
            <w:shd w:val="clear" w:color="auto" w:fill="auto"/>
            <w:noWrap/>
            <w:vAlign w:val="bottom"/>
            <w:hideMark/>
          </w:tcPr>
          <w:p w:rsidR="008725D4" w:rsidRPr="008725D4" w:rsidRDefault="002E29C1" w:rsidP="008725D4">
            <w:pPr>
              <w:autoSpaceDE/>
              <w:autoSpaceDN/>
              <w:adjustRightInd/>
              <w:spacing w:after="0"/>
              <w:jc w:val="left"/>
              <w:rPr>
                <w:rFonts w:ascii="Calibri" w:eastAsia="Times New Roman" w:hAnsi="Calibri" w:cs="Times New Roman"/>
                <w:sz w:val="20"/>
                <w:szCs w:val="22"/>
                <w:lang w:eastAsia="en-GB"/>
              </w:rPr>
            </w:pPr>
            <w:r w:rsidRPr="008725D4">
              <w:rPr>
                <w:rFonts w:ascii="Calibri" w:eastAsia="Times New Roman" w:hAnsi="Calibri" w:cs="Times New Roman"/>
                <w:sz w:val="20"/>
                <w:szCs w:val="22"/>
                <w:lang w:eastAsia="en-GB"/>
              </w:rPr>
              <w:t>LANCASHIRE CARE NHS FOUNDATION TRUST</w:t>
            </w:r>
          </w:p>
        </w:tc>
        <w:tc>
          <w:tcPr>
            <w:tcW w:w="473" w:type="pct"/>
            <w:shd w:val="clear" w:color="auto" w:fill="auto"/>
            <w:noWrap/>
            <w:vAlign w:val="center"/>
            <w:hideMark/>
          </w:tcPr>
          <w:p w:rsidR="008725D4" w:rsidRPr="008725D4" w:rsidRDefault="002E29C1" w:rsidP="00753A6A">
            <w:pPr>
              <w:autoSpaceDE/>
              <w:autoSpaceDN/>
              <w:adjustRightInd/>
              <w:spacing w:after="0"/>
              <w:jc w:val="center"/>
              <w:rPr>
                <w:rFonts w:ascii="Calibri" w:eastAsia="Times New Roman" w:hAnsi="Calibri" w:cs="Times New Roman"/>
                <w:sz w:val="22"/>
                <w:szCs w:val="22"/>
                <w:lang w:eastAsia="en-GB"/>
              </w:rPr>
            </w:pPr>
            <w:r w:rsidRPr="008725D4">
              <w:rPr>
                <w:rFonts w:ascii="Calibri" w:eastAsia="Times New Roman" w:hAnsi="Calibri" w:cs="Times New Roman"/>
                <w:sz w:val="22"/>
                <w:szCs w:val="22"/>
                <w:lang w:eastAsia="en-GB"/>
              </w:rPr>
              <w:t>93</w:t>
            </w:r>
          </w:p>
        </w:tc>
        <w:tc>
          <w:tcPr>
            <w:tcW w:w="473" w:type="pct"/>
            <w:shd w:val="clear" w:color="auto" w:fill="auto"/>
            <w:noWrap/>
            <w:vAlign w:val="center"/>
            <w:hideMark/>
          </w:tcPr>
          <w:p w:rsidR="008725D4" w:rsidRPr="008725D4" w:rsidRDefault="002E29C1" w:rsidP="00753A6A">
            <w:pPr>
              <w:autoSpaceDE/>
              <w:autoSpaceDN/>
              <w:adjustRightInd/>
              <w:spacing w:after="0"/>
              <w:jc w:val="center"/>
              <w:rPr>
                <w:rFonts w:ascii="Calibri" w:eastAsia="Times New Roman" w:hAnsi="Calibri" w:cs="Times New Roman"/>
                <w:sz w:val="22"/>
                <w:szCs w:val="22"/>
                <w:lang w:eastAsia="en-GB"/>
              </w:rPr>
            </w:pPr>
            <w:r w:rsidRPr="008725D4">
              <w:rPr>
                <w:rFonts w:ascii="Calibri" w:eastAsia="Times New Roman" w:hAnsi="Calibri" w:cs="Times New Roman"/>
                <w:sz w:val="22"/>
                <w:szCs w:val="22"/>
                <w:lang w:eastAsia="en-GB"/>
              </w:rPr>
              <w:t>22</w:t>
            </w:r>
          </w:p>
        </w:tc>
        <w:tc>
          <w:tcPr>
            <w:tcW w:w="473" w:type="pct"/>
            <w:shd w:val="clear" w:color="auto" w:fill="auto"/>
            <w:noWrap/>
            <w:vAlign w:val="center"/>
            <w:hideMark/>
          </w:tcPr>
          <w:p w:rsidR="008725D4" w:rsidRPr="008725D4" w:rsidRDefault="002E29C1" w:rsidP="00753A6A">
            <w:pPr>
              <w:autoSpaceDE/>
              <w:autoSpaceDN/>
              <w:adjustRightInd/>
              <w:spacing w:after="0"/>
              <w:jc w:val="center"/>
              <w:rPr>
                <w:rFonts w:ascii="Calibri" w:eastAsia="Times New Roman" w:hAnsi="Calibri" w:cs="Times New Roman"/>
                <w:sz w:val="22"/>
                <w:szCs w:val="22"/>
                <w:lang w:eastAsia="en-GB"/>
              </w:rPr>
            </w:pPr>
            <w:r w:rsidRPr="008725D4">
              <w:rPr>
                <w:rFonts w:ascii="Calibri" w:eastAsia="Times New Roman" w:hAnsi="Calibri" w:cs="Times New Roman"/>
                <w:sz w:val="22"/>
                <w:szCs w:val="22"/>
                <w:lang w:eastAsia="en-GB"/>
              </w:rPr>
              <w:t>104</w:t>
            </w:r>
          </w:p>
        </w:tc>
        <w:tc>
          <w:tcPr>
            <w:tcW w:w="473" w:type="pct"/>
            <w:shd w:val="clear" w:color="auto" w:fill="auto"/>
            <w:noWrap/>
            <w:vAlign w:val="center"/>
            <w:hideMark/>
          </w:tcPr>
          <w:p w:rsidR="008725D4" w:rsidRPr="008725D4" w:rsidRDefault="002E29C1" w:rsidP="00753A6A">
            <w:pPr>
              <w:autoSpaceDE/>
              <w:autoSpaceDN/>
              <w:adjustRightInd/>
              <w:spacing w:after="0"/>
              <w:jc w:val="center"/>
              <w:rPr>
                <w:rFonts w:ascii="Calibri" w:eastAsia="Times New Roman" w:hAnsi="Calibri" w:cs="Times New Roman"/>
                <w:sz w:val="22"/>
                <w:szCs w:val="22"/>
                <w:lang w:eastAsia="en-GB"/>
              </w:rPr>
            </w:pPr>
            <w:r w:rsidRPr="008725D4">
              <w:rPr>
                <w:rFonts w:ascii="Calibri" w:eastAsia="Times New Roman" w:hAnsi="Calibri" w:cs="Times New Roman"/>
                <w:sz w:val="22"/>
                <w:szCs w:val="22"/>
                <w:lang w:eastAsia="en-GB"/>
              </w:rPr>
              <w:t>219</w:t>
            </w:r>
          </w:p>
        </w:tc>
        <w:tc>
          <w:tcPr>
            <w:tcW w:w="473" w:type="pct"/>
            <w:shd w:val="clear" w:color="000000" w:fill="98CD7E"/>
            <w:noWrap/>
            <w:vAlign w:val="center"/>
            <w:hideMark/>
          </w:tcPr>
          <w:p w:rsidR="008725D4" w:rsidRPr="008725D4" w:rsidRDefault="002E29C1" w:rsidP="00753A6A">
            <w:pPr>
              <w:autoSpaceDE/>
              <w:autoSpaceDN/>
              <w:adjustRightInd/>
              <w:spacing w:after="0"/>
              <w:jc w:val="center"/>
              <w:rPr>
                <w:rFonts w:ascii="Calibri" w:eastAsia="Times New Roman" w:hAnsi="Calibri" w:cs="Times New Roman"/>
                <w:sz w:val="22"/>
                <w:szCs w:val="22"/>
                <w:lang w:eastAsia="en-GB"/>
              </w:rPr>
            </w:pPr>
            <w:r w:rsidRPr="008725D4">
              <w:rPr>
                <w:rFonts w:ascii="Calibri" w:eastAsia="Times New Roman" w:hAnsi="Calibri" w:cs="Times New Roman"/>
                <w:sz w:val="22"/>
                <w:szCs w:val="22"/>
                <w:lang w:eastAsia="en-GB"/>
              </w:rPr>
              <w:t>39</w:t>
            </w:r>
          </w:p>
        </w:tc>
        <w:tc>
          <w:tcPr>
            <w:tcW w:w="473" w:type="pct"/>
            <w:shd w:val="clear" w:color="000000" w:fill="99CD7E"/>
            <w:noWrap/>
            <w:vAlign w:val="center"/>
            <w:hideMark/>
          </w:tcPr>
          <w:p w:rsidR="008725D4" w:rsidRPr="008725D4" w:rsidRDefault="002E29C1" w:rsidP="00753A6A">
            <w:pPr>
              <w:autoSpaceDE/>
              <w:autoSpaceDN/>
              <w:adjustRightInd/>
              <w:spacing w:after="0"/>
              <w:jc w:val="center"/>
              <w:rPr>
                <w:rFonts w:ascii="Calibri" w:eastAsia="Times New Roman" w:hAnsi="Calibri" w:cs="Times New Roman"/>
                <w:sz w:val="22"/>
                <w:szCs w:val="22"/>
                <w:lang w:eastAsia="en-GB"/>
              </w:rPr>
            </w:pPr>
            <w:r w:rsidRPr="008725D4">
              <w:rPr>
                <w:rFonts w:ascii="Calibri" w:eastAsia="Times New Roman" w:hAnsi="Calibri" w:cs="Times New Roman"/>
                <w:sz w:val="22"/>
                <w:szCs w:val="22"/>
                <w:lang w:eastAsia="en-GB"/>
              </w:rPr>
              <w:t>40</w:t>
            </w:r>
          </w:p>
        </w:tc>
        <w:tc>
          <w:tcPr>
            <w:tcW w:w="473" w:type="pct"/>
            <w:shd w:val="clear" w:color="000000" w:fill="FA8D72"/>
            <w:noWrap/>
            <w:vAlign w:val="center"/>
            <w:hideMark/>
          </w:tcPr>
          <w:p w:rsidR="008725D4" w:rsidRPr="008725D4" w:rsidRDefault="002E29C1" w:rsidP="00753A6A">
            <w:pPr>
              <w:autoSpaceDE/>
              <w:autoSpaceDN/>
              <w:adjustRightInd/>
              <w:spacing w:after="0"/>
              <w:jc w:val="center"/>
              <w:rPr>
                <w:rFonts w:ascii="Calibri" w:eastAsia="Times New Roman" w:hAnsi="Calibri" w:cs="Times New Roman"/>
                <w:sz w:val="22"/>
                <w:szCs w:val="22"/>
                <w:lang w:eastAsia="en-GB"/>
              </w:rPr>
            </w:pPr>
            <w:r w:rsidRPr="008725D4">
              <w:rPr>
                <w:rFonts w:ascii="Calibri" w:eastAsia="Times New Roman" w:hAnsi="Calibri" w:cs="Times New Roman"/>
                <w:sz w:val="22"/>
                <w:szCs w:val="22"/>
                <w:lang w:eastAsia="en-GB"/>
              </w:rPr>
              <w:t>194</w:t>
            </w:r>
          </w:p>
        </w:tc>
        <w:tc>
          <w:tcPr>
            <w:tcW w:w="474" w:type="pct"/>
            <w:shd w:val="clear" w:color="000000" w:fill="A2D07E"/>
            <w:noWrap/>
            <w:vAlign w:val="center"/>
            <w:hideMark/>
          </w:tcPr>
          <w:p w:rsidR="008725D4" w:rsidRPr="008725D4" w:rsidRDefault="002E29C1" w:rsidP="00753A6A">
            <w:pPr>
              <w:autoSpaceDE/>
              <w:autoSpaceDN/>
              <w:adjustRightInd/>
              <w:spacing w:after="0"/>
              <w:jc w:val="center"/>
              <w:rPr>
                <w:rFonts w:ascii="Calibri" w:eastAsia="Times New Roman" w:hAnsi="Calibri" w:cs="Times New Roman"/>
                <w:sz w:val="22"/>
                <w:szCs w:val="22"/>
                <w:lang w:eastAsia="en-GB"/>
              </w:rPr>
            </w:pPr>
            <w:r w:rsidRPr="008725D4">
              <w:rPr>
                <w:rFonts w:ascii="Calibri" w:eastAsia="Times New Roman" w:hAnsi="Calibri" w:cs="Times New Roman"/>
                <w:sz w:val="22"/>
                <w:szCs w:val="22"/>
                <w:lang w:eastAsia="en-GB"/>
              </w:rPr>
              <w:t>46</w:t>
            </w:r>
          </w:p>
        </w:tc>
      </w:tr>
      <w:tr w:rsidR="00040D04" w:rsidTr="00753A6A">
        <w:trPr>
          <w:trHeight w:val="300"/>
        </w:trPr>
        <w:tc>
          <w:tcPr>
            <w:tcW w:w="1213" w:type="pct"/>
            <w:shd w:val="clear" w:color="auto" w:fill="auto"/>
            <w:noWrap/>
            <w:vAlign w:val="bottom"/>
            <w:hideMark/>
          </w:tcPr>
          <w:p w:rsidR="008725D4" w:rsidRPr="008725D4" w:rsidRDefault="002E29C1" w:rsidP="008725D4">
            <w:pPr>
              <w:autoSpaceDE/>
              <w:autoSpaceDN/>
              <w:adjustRightInd/>
              <w:spacing w:after="0"/>
              <w:jc w:val="left"/>
              <w:rPr>
                <w:rFonts w:ascii="Calibri" w:eastAsia="Times New Roman" w:hAnsi="Calibri" w:cs="Times New Roman"/>
                <w:sz w:val="20"/>
                <w:szCs w:val="22"/>
                <w:lang w:eastAsia="en-GB"/>
              </w:rPr>
            </w:pPr>
            <w:r w:rsidRPr="008725D4">
              <w:rPr>
                <w:rFonts w:ascii="Calibri" w:eastAsia="Times New Roman" w:hAnsi="Calibri" w:cs="Times New Roman"/>
                <w:sz w:val="20"/>
                <w:szCs w:val="22"/>
                <w:lang w:eastAsia="en-GB"/>
              </w:rPr>
              <w:t>LANCASHIRE TEACHING HOSPITALS NHS FOUNDATION TRUST</w:t>
            </w:r>
          </w:p>
        </w:tc>
        <w:tc>
          <w:tcPr>
            <w:tcW w:w="473" w:type="pct"/>
            <w:shd w:val="clear" w:color="auto" w:fill="auto"/>
            <w:noWrap/>
            <w:vAlign w:val="center"/>
            <w:hideMark/>
          </w:tcPr>
          <w:p w:rsidR="008725D4" w:rsidRPr="008725D4" w:rsidRDefault="002E29C1" w:rsidP="00753A6A">
            <w:pPr>
              <w:autoSpaceDE/>
              <w:autoSpaceDN/>
              <w:adjustRightInd/>
              <w:spacing w:after="0"/>
              <w:jc w:val="center"/>
              <w:rPr>
                <w:rFonts w:ascii="Calibri" w:eastAsia="Times New Roman" w:hAnsi="Calibri" w:cs="Times New Roman"/>
                <w:sz w:val="22"/>
                <w:szCs w:val="22"/>
                <w:lang w:eastAsia="en-GB"/>
              </w:rPr>
            </w:pPr>
            <w:r w:rsidRPr="008725D4">
              <w:rPr>
                <w:rFonts w:ascii="Calibri" w:eastAsia="Times New Roman" w:hAnsi="Calibri" w:cs="Times New Roman"/>
                <w:sz w:val="22"/>
                <w:szCs w:val="22"/>
                <w:lang w:eastAsia="en-GB"/>
              </w:rPr>
              <w:t>533</w:t>
            </w:r>
          </w:p>
        </w:tc>
        <w:tc>
          <w:tcPr>
            <w:tcW w:w="473" w:type="pct"/>
            <w:shd w:val="clear" w:color="auto" w:fill="auto"/>
            <w:noWrap/>
            <w:vAlign w:val="center"/>
            <w:hideMark/>
          </w:tcPr>
          <w:p w:rsidR="008725D4" w:rsidRPr="008725D4" w:rsidRDefault="002E29C1" w:rsidP="00753A6A">
            <w:pPr>
              <w:autoSpaceDE/>
              <w:autoSpaceDN/>
              <w:adjustRightInd/>
              <w:spacing w:after="0"/>
              <w:jc w:val="center"/>
              <w:rPr>
                <w:rFonts w:ascii="Calibri" w:eastAsia="Times New Roman" w:hAnsi="Calibri" w:cs="Times New Roman"/>
                <w:sz w:val="22"/>
                <w:szCs w:val="22"/>
                <w:lang w:eastAsia="en-GB"/>
              </w:rPr>
            </w:pPr>
            <w:r w:rsidRPr="008725D4">
              <w:rPr>
                <w:rFonts w:ascii="Calibri" w:eastAsia="Times New Roman" w:hAnsi="Calibri" w:cs="Times New Roman"/>
                <w:sz w:val="22"/>
                <w:szCs w:val="22"/>
                <w:lang w:eastAsia="en-GB"/>
              </w:rPr>
              <w:t>719</w:t>
            </w:r>
          </w:p>
        </w:tc>
        <w:tc>
          <w:tcPr>
            <w:tcW w:w="473" w:type="pct"/>
            <w:shd w:val="clear" w:color="auto" w:fill="auto"/>
            <w:noWrap/>
            <w:vAlign w:val="center"/>
            <w:hideMark/>
          </w:tcPr>
          <w:p w:rsidR="008725D4" w:rsidRPr="008725D4" w:rsidRDefault="002E29C1" w:rsidP="00753A6A">
            <w:pPr>
              <w:autoSpaceDE/>
              <w:autoSpaceDN/>
              <w:adjustRightInd/>
              <w:spacing w:after="0"/>
              <w:jc w:val="center"/>
              <w:rPr>
                <w:rFonts w:ascii="Calibri" w:eastAsia="Times New Roman" w:hAnsi="Calibri" w:cs="Times New Roman"/>
                <w:sz w:val="22"/>
                <w:szCs w:val="22"/>
                <w:lang w:eastAsia="en-GB"/>
              </w:rPr>
            </w:pPr>
            <w:r w:rsidRPr="008725D4">
              <w:rPr>
                <w:rFonts w:ascii="Calibri" w:eastAsia="Times New Roman" w:hAnsi="Calibri" w:cs="Times New Roman"/>
                <w:sz w:val="22"/>
                <w:szCs w:val="22"/>
                <w:lang w:eastAsia="en-GB"/>
              </w:rPr>
              <w:t>29</w:t>
            </w:r>
          </w:p>
        </w:tc>
        <w:tc>
          <w:tcPr>
            <w:tcW w:w="473" w:type="pct"/>
            <w:shd w:val="clear" w:color="auto" w:fill="auto"/>
            <w:noWrap/>
            <w:vAlign w:val="center"/>
            <w:hideMark/>
          </w:tcPr>
          <w:p w:rsidR="008725D4" w:rsidRPr="008725D4" w:rsidRDefault="002E29C1" w:rsidP="00753A6A">
            <w:pPr>
              <w:autoSpaceDE/>
              <w:autoSpaceDN/>
              <w:adjustRightInd/>
              <w:spacing w:after="0"/>
              <w:jc w:val="center"/>
              <w:rPr>
                <w:rFonts w:ascii="Calibri" w:eastAsia="Times New Roman" w:hAnsi="Calibri" w:cs="Times New Roman"/>
                <w:sz w:val="22"/>
                <w:szCs w:val="22"/>
                <w:lang w:eastAsia="en-GB"/>
              </w:rPr>
            </w:pPr>
            <w:r w:rsidRPr="008725D4">
              <w:rPr>
                <w:rFonts w:ascii="Calibri" w:eastAsia="Times New Roman" w:hAnsi="Calibri" w:cs="Times New Roman"/>
                <w:sz w:val="22"/>
                <w:szCs w:val="22"/>
                <w:lang w:eastAsia="en-GB"/>
              </w:rPr>
              <w:t>1281</w:t>
            </w:r>
          </w:p>
        </w:tc>
        <w:tc>
          <w:tcPr>
            <w:tcW w:w="473" w:type="pct"/>
            <w:shd w:val="clear" w:color="000000" w:fill="FCAD79"/>
            <w:noWrap/>
            <w:vAlign w:val="center"/>
            <w:hideMark/>
          </w:tcPr>
          <w:p w:rsidR="008725D4" w:rsidRPr="008725D4" w:rsidRDefault="002E29C1" w:rsidP="00753A6A">
            <w:pPr>
              <w:autoSpaceDE/>
              <w:autoSpaceDN/>
              <w:adjustRightInd/>
              <w:spacing w:after="0"/>
              <w:jc w:val="center"/>
              <w:rPr>
                <w:rFonts w:ascii="Calibri" w:eastAsia="Times New Roman" w:hAnsi="Calibri" w:cs="Times New Roman"/>
                <w:sz w:val="22"/>
                <w:szCs w:val="22"/>
                <w:lang w:eastAsia="en-GB"/>
              </w:rPr>
            </w:pPr>
            <w:r w:rsidRPr="008725D4">
              <w:rPr>
                <w:rFonts w:ascii="Calibri" w:eastAsia="Times New Roman" w:hAnsi="Calibri" w:cs="Times New Roman"/>
                <w:sz w:val="22"/>
                <w:szCs w:val="22"/>
                <w:lang w:eastAsia="en-GB"/>
              </w:rPr>
              <w:t>166</w:t>
            </w:r>
          </w:p>
        </w:tc>
        <w:tc>
          <w:tcPr>
            <w:tcW w:w="473" w:type="pct"/>
            <w:shd w:val="clear" w:color="000000" w:fill="F9726D"/>
            <w:noWrap/>
            <w:vAlign w:val="center"/>
            <w:hideMark/>
          </w:tcPr>
          <w:p w:rsidR="008725D4" w:rsidRPr="008725D4" w:rsidRDefault="002E29C1" w:rsidP="00753A6A">
            <w:pPr>
              <w:autoSpaceDE/>
              <w:autoSpaceDN/>
              <w:adjustRightInd/>
              <w:spacing w:after="0"/>
              <w:jc w:val="center"/>
              <w:rPr>
                <w:rFonts w:ascii="Calibri" w:eastAsia="Times New Roman" w:hAnsi="Calibri" w:cs="Times New Roman"/>
                <w:sz w:val="22"/>
                <w:szCs w:val="22"/>
                <w:lang w:eastAsia="en-GB"/>
              </w:rPr>
            </w:pPr>
            <w:r w:rsidRPr="008725D4">
              <w:rPr>
                <w:rFonts w:ascii="Calibri" w:eastAsia="Times New Roman" w:hAnsi="Calibri" w:cs="Times New Roman"/>
                <w:sz w:val="22"/>
                <w:szCs w:val="22"/>
                <w:lang w:eastAsia="en-GB"/>
              </w:rPr>
              <w:t>218</w:t>
            </w:r>
          </w:p>
        </w:tc>
        <w:tc>
          <w:tcPr>
            <w:tcW w:w="473" w:type="pct"/>
            <w:shd w:val="clear" w:color="000000" w:fill="FDBB7B"/>
            <w:noWrap/>
            <w:vAlign w:val="center"/>
            <w:hideMark/>
          </w:tcPr>
          <w:p w:rsidR="008725D4" w:rsidRPr="008725D4" w:rsidRDefault="002E29C1" w:rsidP="00753A6A">
            <w:pPr>
              <w:autoSpaceDE/>
              <w:autoSpaceDN/>
              <w:adjustRightInd/>
              <w:spacing w:after="0"/>
              <w:jc w:val="center"/>
              <w:rPr>
                <w:rFonts w:ascii="Calibri" w:eastAsia="Times New Roman" w:hAnsi="Calibri" w:cs="Times New Roman"/>
                <w:sz w:val="22"/>
                <w:szCs w:val="22"/>
                <w:lang w:eastAsia="en-GB"/>
              </w:rPr>
            </w:pPr>
            <w:r w:rsidRPr="008725D4">
              <w:rPr>
                <w:rFonts w:ascii="Calibri" w:eastAsia="Times New Roman" w:hAnsi="Calibri" w:cs="Times New Roman"/>
                <w:sz w:val="22"/>
                <w:szCs w:val="22"/>
                <w:lang w:eastAsia="en-GB"/>
              </w:rPr>
              <w:t>154</w:t>
            </w:r>
          </w:p>
        </w:tc>
        <w:tc>
          <w:tcPr>
            <w:tcW w:w="474" w:type="pct"/>
            <w:shd w:val="clear" w:color="000000" w:fill="FA8B72"/>
            <w:noWrap/>
            <w:vAlign w:val="center"/>
            <w:hideMark/>
          </w:tcPr>
          <w:p w:rsidR="008725D4" w:rsidRPr="008725D4" w:rsidRDefault="002E29C1" w:rsidP="00753A6A">
            <w:pPr>
              <w:autoSpaceDE/>
              <w:autoSpaceDN/>
              <w:adjustRightInd/>
              <w:spacing w:after="0"/>
              <w:jc w:val="center"/>
              <w:rPr>
                <w:rFonts w:ascii="Calibri" w:eastAsia="Times New Roman" w:hAnsi="Calibri" w:cs="Times New Roman"/>
                <w:sz w:val="22"/>
                <w:szCs w:val="22"/>
                <w:lang w:eastAsia="en-GB"/>
              </w:rPr>
            </w:pPr>
            <w:r w:rsidRPr="008725D4">
              <w:rPr>
                <w:rFonts w:ascii="Calibri" w:eastAsia="Times New Roman" w:hAnsi="Calibri" w:cs="Times New Roman"/>
                <w:sz w:val="22"/>
                <w:szCs w:val="22"/>
                <w:lang w:eastAsia="en-GB"/>
              </w:rPr>
              <w:t>196</w:t>
            </w:r>
          </w:p>
        </w:tc>
      </w:tr>
      <w:tr w:rsidR="00040D04" w:rsidTr="00753A6A">
        <w:trPr>
          <w:trHeight w:val="300"/>
        </w:trPr>
        <w:tc>
          <w:tcPr>
            <w:tcW w:w="1213" w:type="pct"/>
            <w:shd w:val="clear" w:color="auto" w:fill="auto"/>
            <w:noWrap/>
            <w:vAlign w:val="bottom"/>
            <w:hideMark/>
          </w:tcPr>
          <w:p w:rsidR="008725D4" w:rsidRPr="008725D4" w:rsidRDefault="002E29C1" w:rsidP="008725D4">
            <w:pPr>
              <w:autoSpaceDE/>
              <w:autoSpaceDN/>
              <w:adjustRightInd/>
              <w:spacing w:after="0"/>
              <w:jc w:val="left"/>
              <w:rPr>
                <w:rFonts w:ascii="Calibri" w:eastAsia="Times New Roman" w:hAnsi="Calibri" w:cs="Times New Roman"/>
                <w:sz w:val="20"/>
                <w:szCs w:val="22"/>
                <w:lang w:eastAsia="en-GB"/>
              </w:rPr>
            </w:pPr>
            <w:r w:rsidRPr="008725D4">
              <w:rPr>
                <w:rFonts w:ascii="Calibri" w:eastAsia="Times New Roman" w:hAnsi="Calibri" w:cs="Times New Roman"/>
                <w:sz w:val="20"/>
                <w:szCs w:val="22"/>
                <w:lang w:eastAsia="en-GB"/>
              </w:rPr>
              <w:t>SOUTHPORT AND ORMSKIRK HOSPITAL NHS TRUST</w:t>
            </w:r>
          </w:p>
        </w:tc>
        <w:tc>
          <w:tcPr>
            <w:tcW w:w="473" w:type="pct"/>
            <w:shd w:val="clear" w:color="auto" w:fill="auto"/>
            <w:noWrap/>
            <w:vAlign w:val="center"/>
            <w:hideMark/>
          </w:tcPr>
          <w:p w:rsidR="008725D4" w:rsidRPr="008725D4" w:rsidRDefault="002E29C1" w:rsidP="00753A6A">
            <w:pPr>
              <w:autoSpaceDE/>
              <w:autoSpaceDN/>
              <w:adjustRightInd/>
              <w:spacing w:after="0"/>
              <w:jc w:val="center"/>
              <w:rPr>
                <w:rFonts w:ascii="Calibri" w:eastAsia="Times New Roman" w:hAnsi="Calibri" w:cs="Times New Roman"/>
                <w:sz w:val="22"/>
                <w:szCs w:val="22"/>
                <w:lang w:eastAsia="en-GB"/>
              </w:rPr>
            </w:pPr>
            <w:r w:rsidRPr="008725D4">
              <w:rPr>
                <w:rFonts w:ascii="Calibri" w:eastAsia="Times New Roman" w:hAnsi="Calibri" w:cs="Times New Roman"/>
                <w:sz w:val="22"/>
                <w:szCs w:val="22"/>
                <w:lang w:eastAsia="en-GB"/>
              </w:rPr>
              <w:t>168</w:t>
            </w:r>
          </w:p>
        </w:tc>
        <w:tc>
          <w:tcPr>
            <w:tcW w:w="473" w:type="pct"/>
            <w:shd w:val="clear" w:color="auto" w:fill="auto"/>
            <w:noWrap/>
            <w:vAlign w:val="center"/>
            <w:hideMark/>
          </w:tcPr>
          <w:p w:rsidR="008725D4" w:rsidRPr="008725D4" w:rsidRDefault="002E29C1" w:rsidP="00753A6A">
            <w:pPr>
              <w:autoSpaceDE/>
              <w:autoSpaceDN/>
              <w:adjustRightInd/>
              <w:spacing w:after="0"/>
              <w:jc w:val="center"/>
              <w:rPr>
                <w:rFonts w:ascii="Calibri" w:eastAsia="Times New Roman" w:hAnsi="Calibri" w:cs="Times New Roman"/>
                <w:sz w:val="22"/>
                <w:szCs w:val="22"/>
                <w:lang w:eastAsia="en-GB"/>
              </w:rPr>
            </w:pPr>
            <w:r w:rsidRPr="008725D4">
              <w:rPr>
                <w:rFonts w:ascii="Calibri" w:eastAsia="Times New Roman" w:hAnsi="Calibri" w:cs="Times New Roman"/>
                <w:sz w:val="22"/>
                <w:szCs w:val="22"/>
                <w:lang w:eastAsia="en-GB"/>
              </w:rPr>
              <w:t>7</w:t>
            </w:r>
          </w:p>
        </w:tc>
        <w:tc>
          <w:tcPr>
            <w:tcW w:w="473" w:type="pct"/>
            <w:shd w:val="clear" w:color="auto" w:fill="auto"/>
            <w:noWrap/>
            <w:vAlign w:val="center"/>
            <w:hideMark/>
          </w:tcPr>
          <w:p w:rsidR="008725D4" w:rsidRPr="008725D4" w:rsidRDefault="002E29C1" w:rsidP="00753A6A">
            <w:pPr>
              <w:autoSpaceDE/>
              <w:autoSpaceDN/>
              <w:adjustRightInd/>
              <w:spacing w:after="0"/>
              <w:jc w:val="center"/>
              <w:rPr>
                <w:rFonts w:ascii="Calibri" w:eastAsia="Times New Roman" w:hAnsi="Calibri" w:cs="Times New Roman"/>
                <w:sz w:val="22"/>
                <w:szCs w:val="22"/>
                <w:lang w:eastAsia="en-GB"/>
              </w:rPr>
            </w:pPr>
            <w:r w:rsidRPr="008725D4">
              <w:rPr>
                <w:rFonts w:ascii="Calibri" w:eastAsia="Times New Roman" w:hAnsi="Calibri" w:cs="Times New Roman"/>
                <w:sz w:val="22"/>
                <w:szCs w:val="22"/>
                <w:lang w:eastAsia="en-GB"/>
              </w:rPr>
              <w:t>0</w:t>
            </w:r>
          </w:p>
        </w:tc>
        <w:tc>
          <w:tcPr>
            <w:tcW w:w="473" w:type="pct"/>
            <w:shd w:val="clear" w:color="auto" w:fill="auto"/>
            <w:noWrap/>
            <w:vAlign w:val="center"/>
            <w:hideMark/>
          </w:tcPr>
          <w:p w:rsidR="008725D4" w:rsidRPr="008725D4" w:rsidRDefault="002E29C1" w:rsidP="00753A6A">
            <w:pPr>
              <w:autoSpaceDE/>
              <w:autoSpaceDN/>
              <w:adjustRightInd/>
              <w:spacing w:after="0"/>
              <w:jc w:val="center"/>
              <w:rPr>
                <w:rFonts w:ascii="Calibri" w:eastAsia="Times New Roman" w:hAnsi="Calibri" w:cs="Times New Roman"/>
                <w:sz w:val="22"/>
                <w:szCs w:val="22"/>
                <w:lang w:eastAsia="en-GB"/>
              </w:rPr>
            </w:pPr>
            <w:r w:rsidRPr="008725D4">
              <w:rPr>
                <w:rFonts w:ascii="Calibri" w:eastAsia="Times New Roman" w:hAnsi="Calibri" w:cs="Times New Roman"/>
                <w:sz w:val="22"/>
                <w:szCs w:val="22"/>
                <w:lang w:eastAsia="en-GB"/>
              </w:rPr>
              <w:t>175</w:t>
            </w:r>
          </w:p>
        </w:tc>
        <w:tc>
          <w:tcPr>
            <w:tcW w:w="473" w:type="pct"/>
            <w:shd w:val="clear" w:color="000000" w:fill="BFD880"/>
            <w:noWrap/>
            <w:vAlign w:val="center"/>
            <w:hideMark/>
          </w:tcPr>
          <w:p w:rsidR="008725D4" w:rsidRPr="008725D4" w:rsidRDefault="002E29C1" w:rsidP="00753A6A">
            <w:pPr>
              <w:autoSpaceDE/>
              <w:autoSpaceDN/>
              <w:adjustRightInd/>
              <w:spacing w:after="0"/>
              <w:jc w:val="center"/>
              <w:rPr>
                <w:rFonts w:ascii="Calibri" w:eastAsia="Times New Roman" w:hAnsi="Calibri" w:cs="Times New Roman"/>
                <w:sz w:val="22"/>
                <w:szCs w:val="22"/>
                <w:lang w:eastAsia="en-GB"/>
              </w:rPr>
            </w:pPr>
            <w:r w:rsidRPr="008725D4">
              <w:rPr>
                <w:rFonts w:ascii="Calibri" w:eastAsia="Times New Roman" w:hAnsi="Calibri" w:cs="Times New Roman"/>
                <w:sz w:val="22"/>
                <w:szCs w:val="22"/>
                <w:lang w:eastAsia="en-GB"/>
              </w:rPr>
              <w:t>67</w:t>
            </w:r>
          </w:p>
        </w:tc>
        <w:tc>
          <w:tcPr>
            <w:tcW w:w="473" w:type="pct"/>
            <w:shd w:val="clear" w:color="000000" w:fill="7DC57C"/>
            <w:noWrap/>
            <w:vAlign w:val="center"/>
            <w:hideMark/>
          </w:tcPr>
          <w:p w:rsidR="008725D4" w:rsidRPr="008725D4" w:rsidRDefault="002E29C1" w:rsidP="00753A6A">
            <w:pPr>
              <w:autoSpaceDE/>
              <w:autoSpaceDN/>
              <w:adjustRightInd/>
              <w:spacing w:after="0"/>
              <w:jc w:val="center"/>
              <w:rPr>
                <w:rFonts w:ascii="Calibri" w:eastAsia="Times New Roman" w:hAnsi="Calibri" w:cs="Times New Roman"/>
                <w:sz w:val="22"/>
                <w:szCs w:val="22"/>
                <w:lang w:eastAsia="en-GB"/>
              </w:rPr>
            </w:pPr>
            <w:r w:rsidRPr="008725D4">
              <w:rPr>
                <w:rFonts w:ascii="Calibri" w:eastAsia="Times New Roman" w:hAnsi="Calibri" w:cs="Times New Roman"/>
                <w:sz w:val="22"/>
                <w:szCs w:val="22"/>
                <w:lang w:eastAsia="en-GB"/>
              </w:rPr>
              <w:t>20</w:t>
            </w:r>
          </w:p>
        </w:tc>
        <w:tc>
          <w:tcPr>
            <w:tcW w:w="473" w:type="pct"/>
            <w:shd w:val="clear" w:color="000000" w:fill="63BE7B"/>
            <w:noWrap/>
            <w:vAlign w:val="center"/>
            <w:hideMark/>
          </w:tcPr>
          <w:p w:rsidR="008725D4" w:rsidRPr="008725D4" w:rsidRDefault="002E29C1" w:rsidP="00753A6A">
            <w:pPr>
              <w:autoSpaceDE/>
              <w:autoSpaceDN/>
              <w:adjustRightInd/>
              <w:spacing w:after="0"/>
              <w:jc w:val="center"/>
              <w:rPr>
                <w:rFonts w:ascii="Calibri" w:eastAsia="Times New Roman" w:hAnsi="Calibri" w:cs="Times New Roman"/>
                <w:sz w:val="22"/>
                <w:szCs w:val="22"/>
                <w:lang w:eastAsia="en-GB"/>
              </w:rPr>
            </w:pPr>
            <w:r w:rsidRPr="008725D4">
              <w:rPr>
                <w:rFonts w:ascii="Calibri" w:eastAsia="Times New Roman" w:hAnsi="Calibri" w:cs="Times New Roman"/>
                <w:sz w:val="22"/>
                <w:szCs w:val="22"/>
                <w:lang w:eastAsia="en-GB"/>
              </w:rPr>
              <w:t>1</w:t>
            </w:r>
          </w:p>
        </w:tc>
        <w:tc>
          <w:tcPr>
            <w:tcW w:w="474" w:type="pct"/>
            <w:shd w:val="clear" w:color="000000" w:fill="99CD7E"/>
            <w:noWrap/>
            <w:vAlign w:val="center"/>
            <w:hideMark/>
          </w:tcPr>
          <w:p w:rsidR="008725D4" w:rsidRPr="008725D4" w:rsidRDefault="002E29C1" w:rsidP="00753A6A">
            <w:pPr>
              <w:autoSpaceDE/>
              <w:autoSpaceDN/>
              <w:adjustRightInd/>
              <w:spacing w:after="0"/>
              <w:jc w:val="center"/>
              <w:rPr>
                <w:rFonts w:ascii="Calibri" w:eastAsia="Times New Roman" w:hAnsi="Calibri" w:cs="Times New Roman"/>
                <w:sz w:val="22"/>
                <w:szCs w:val="22"/>
                <w:lang w:eastAsia="en-GB"/>
              </w:rPr>
            </w:pPr>
            <w:r w:rsidRPr="008725D4">
              <w:rPr>
                <w:rFonts w:ascii="Calibri" w:eastAsia="Times New Roman" w:hAnsi="Calibri" w:cs="Times New Roman"/>
                <w:sz w:val="22"/>
                <w:szCs w:val="22"/>
                <w:lang w:eastAsia="en-GB"/>
              </w:rPr>
              <w:t>40</w:t>
            </w:r>
          </w:p>
        </w:tc>
      </w:tr>
      <w:tr w:rsidR="00040D04" w:rsidTr="00753A6A">
        <w:trPr>
          <w:trHeight w:val="300"/>
        </w:trPr>
        <w:tc>
          <w:tcPr>
            <w:tcW w:w="1213" w:type="pct"/>
            <w:shd w:val="clear" w:color="auto" w:fill="auto"/>
            <w:noWrap/>
            <w:vAlign w:val="bottom"/>
            <w:hideMark/>
          </w:tcPr>
          <w:p w:rsidR="008725D4" w:rsidRPr="008725D4" w:rsidRDefault="002E29C1" w:rsidP="008725D4">
            <w:pPr>
              <w:autoSpaceDE/>
              <w:autoSpaceDN/>
              <w:adjustRightInd/>
              <w:spacing w:after="0"/>
              <w:jc w:val="left"/>
              <w:rPr>
                <w:rFonts w:ascii="Calibri" w:eastAsia="Times New Roman" w:hAnsi="Calibri" w:cs="Times New Roman"/>
                <w:sz w:val="20"/>
                <w:szCs w:val="22"/>
                <w:lang w:eastAsia="en-GB"/>
              </w:rPr>
            </w:pPr>
            <w:r w:rsidRPr="008725D4">
              <w:rPr>
                <w:rFonts w:ascii="Calibri" w:eastAsia="Times New Roman" w:hAnsi="Calibri" w:cs="Times New Roman"/>
                <w:sz w:val="20"/>
                <w:szCs w:val="22"/>
                <w:lang w:eastAsia="en-GB"/>
              </w:rPr>
              <w:t>UNIVERSITY HOSPITALS OF MORECAMBE BAY NHS FOUNDATION TRUST</w:t>
            </w:r>
          </w:p>
        </w:tc>
        <w:tc>
          <w:tcPr>
            <w:tcW w:w="473" w:type="pct"/>
            <w:shd w:val="clear" w:color="auto" w:fill="auto"/>
            <w:noWrap/>
            <w:vAlign w:val="center"/>
            <w:hideMark/>
          </w:tcPr>
          <w:p w:rsidR="008725D4" w:rsidRPr="008725D4" w:rsidRDefault="002E29C1" w:rsidP="00753A6A">
            <w:pPr>
              <w:autoSpaceDE/>
              <w:autoSpaceDN/>
              <w:adjustRightInd/>
              <w:spacing w:after="0"/>
              <w:jc w:val="center"/>
              <w:rPr>
                <w:rFonts w:ascii="Calibri" w:eastAsia="Times New Roman" w:hAnsi="Calibri" w:cs="Times New Roman"/>
                <w:sz w:val="22"/>
                <w:szCs w:val="22"/>
                <w:lang w:eastAsia="en-GB"/>
              </w:rPr>
            </w:pPr>
            <w:r w:rsidRPr="008725D4">
              <w:rPr>
                <w:rFonts w:ascii="Calibri" w:eastAsia="Times New Roman" w:hAnsi="Calibri" w:cs="Times New Roman"/>
                <w:sz w:val="22"/>
                <w:szCs w:val="22"/>
                <w:lang w:eastAsia="en-GB"/>
              </w:rPr>
              <w:t>278</w:t>
            </w:r>
          </w:p>
        </w:tc>
        <w:tc>
          <w:tcPr>
            <w:tcW w:w="473" w:type="pct"/>
            <w:shd w:val="clear" w:color="auto" w:fill="auto"/>
            <w:noWrap/>
            <w:vAlign w:val="center"/>
            <w:hideMark/>
          </w:tcPr>
          <w:p w:rsidR="008725D4" w:rsidRPr="008725D4" w:rsidRDefault="002E29C1" w:rsidP="00753A6A">
            <w:pPr>
              <w:autoSpaceDE/>
              <w:autoSpaceDN/>
              <w:adjustRightInd/>
              <w:spacing w:after="0"/>
              <w:jc w:val="center"/>
              <w:rPr>
                <w:rFonts w:ascii="Calibri" w:eastAsia="Times New Roman" w:hAnsi="Calibri" w:cs="Times New Roman"/>
                <w:sz w:val="22"/>
                <w:szCs w:val="22"/>
                <w:lang w:eastAsia="en-GB"/>
              </w:rPr>
            </w:pPr>
            <w:r w:rsidRPr="008725D4">
              <w:rPr>
                <w:rFonts w:ascii="Calibri" w:eastAsia="Times New Roman" w:hAnsi="Calibri" w:cs="Times New Roman"/>
                <w:sz w:val="22"/>
                <w:szCs w:val="22"/>
                <w:lang w:eastAsia="en-GB"/>
              </w:rPr>
              <w:t>487</w:t>
            </w:r>
          </w:p>
        </w:tc>
        <w:tc>
          <w:tcPr>
            <w:tcW w:w="473" w:type="pct"/>
            <w:shd w:val="clear" w:color="auto" w:fill="auto"/>
            <w:noWrap/>
            <w:vAlign w:val="center"/>
            <w:hideMark/>
          </w:tcPr>
          <w:p w:rsidR="008725D4" w:rsidRPr="008725D4" w:rsidRDefault="002E29C1" w:rsidP="00753A6A">
            <w:pPr>
              <w:autoSpaceDE/>
              <w:autoSpaceDN/>
              <w:adjustRightInd/>
              <w:spacing w:after="0"/>
              <w:jc w:val="center"/>
              <w:rPr>
                <w:rFonts w:ascii="Calibri" w:eastAsia="Times New Roman" w:hAnsi="Calibri" w:cs="Times New Roman"/>
                <w:sz w:val="22"/>
                <w:szCs w:val="22"/>
                <w:lang w:eastAsia="en-GB"/>
              </w:rPr>
            </w:pPr>
            <w:r w:rsidRPr="008725D4">
              <w:rPr>
                <w:rFonts w:ascii="Calibri" w:eastAsia="Times New Roman" w:hAnsi="Calibri" w:cs="Times New Roman"/>
                <w:sz w:val="22"/>
                <w:szCs w:val="22"/>
                <w:lang w:eastAsia="en-GB"/>
              </w:rPr>
              <w:t>7</w:t>
            </w:r>
          </w:p>
        </w:tc>
        <w:tc>
          <w:tcPr>
            <w:tcW w:w="473" w:type="pct"/>
            <w:shd w:val="clear" w:color="auto" w:fill="auto"/>
            <w:noWrap/>
            <w:vAlign w:val="center"/>
            <w:hideMark/>
          </w:tcPr>
          <w:p w:rsidR="008725D4" w:rsidRPr="008725D4" w:rsidRDefault="002E29C1" w:rsidP="00753A6A">
            <w:pPr>
              <w:autoSpaceDE/>
              <w:autoSpaceDN/>
              <w:adjustRightInd/>
              <w:spacing w:after="0"/>
              <w:jc w:val="center"/>
              <w:rPr>
                <w:rFonts w:ascii="Calibri" w:eastAsia="Times New Roman" w:hAnsi="Calibri" w:cs="Times New Roman"/>
                <w:sz w:val="22"/>
                <w:szCs w:val="22"/>
                <w:lang w:eastAsia="en-GB"/>
              </w:rPr>
            </w:pPr>
            <w:r w:rsidRPr="008725D4">
              <w:rPr>
                <w:rFonts w:ascii="Calibri" w:eastAsia="Times New Roman" w:hAnsi="Calibri" w:cs="Times New Roman"/>
                <w:sz w:val="22"/>
                <w:szCs w:val="22"/>
                <w:lang w:eastAsia="en-GB"/>
              </w:rPr>
              <w:t>772</w:t>
            </w:r>
          </w:p>
        </w:tc>
        <w:tc>
          <w:tcPr>
            <w:tcW w:w="473" w:type="pct"/>
            <w:shd w:val="clear" w:color="000000" w:fill="FCEA83"/>
            <w:noWrap/>
            <w:vAlign w:val="center"/>
            <w:hideMark/>
          </w:tcPr>
          <w:p w:rsidR="008725D4" w:rsidRPr="008725D4" w:rsidRDefault="002E29C1" w:rsidP="00753A6A">
            <w:pPr>
              <w:autoSpaceDE/>
              <w:autoSpaceDN/>
              <w:adjustRightInd/>
              <w:spacing w:after="0"/>
              <w:jc w:val="center"/>
              <w:rPr>
                <w:rFonts w:ascii="Calibri" w:eastAsia="Times New Roman" w:hAnsi="Calibri" w:cs="Times New Roman"/>
                <w:sz w:val="22"/>
                <w:szCs w:val="22"/>
                <w:lang w:eastAsia="en-GB"/>
              </w:rPr>
            </w:pPr>
            <w:r w:rsidRPr="008725D4">
              <w:rPr>
                <w:rFonts w:ascii="Calibri" w:eastAsia="Times New Roman" w:hAnsi="Calibri" w:cs="Times New Roman"/>
                <w:sz w:val="22"/>
                <w:szCs w:val="22"/>
                <w:lang w:eastAsia="en-GB"/>
              </w:rPr>
              <w:t>110</w:t>
            </w:r>
          </w:p>
        </w:tc>
        <w:tc>
          <w:tcPr>
            <w:tcW w:w="473" w:type="pct"/>
            <w:shd w:val="clear" w:color="000000" w:fill="FA8370"/>
            <w:noWrap/>
            <w:vAlign w:val="center"/>
            <w:hideMark/>
          </w:tcPr>
          <w:p w:rsidR="008725D4" w:rsidRPr="008725D4" w:rsidRDefault="002E29C1" w:rsidP="00753A6A">
            <w:pPr>
              <w:autoSpaceDE/>
              <w:autoSpaceDN/>
              <w:adjustRightInd/>
              <w:spacing w:after="0"/>
              <w:jc w:val="center"/>
              <w:rPr>
                <w:rFonts w:ascii="Calibri" w:eastAsia="Times New Roman" w:hAnsi="Calibri" w:cs="Times New Roman"/>
                <w:sz w:val="22"/>
                <w:szCs w:val="22"/>
                <w:lang w:eastAsia="en-GB"/>
              </w:rPr>
            </w:pPr>
            <w:r w:rsidRPr="008725D4">
              <w:rPr>
                <w:rFonts w:ascii="Calibri" w:eastAsia="Times New Roman" w:hAnsi="Calibri" w:cs="Times New Roman"/>
                <w:sz w:val="22"/>
                <w:szCs w:val="22"/>
                <w:lang w:eastAsia="en-GB"/>
              </w:rPr>
              <w:t>203</w:t>
            </w:r>
          </w:p>
        </w:tc>
        <w:tc>
          <w:tcPr>
            <w:tcW w:w="473" w:type="pct"/>
            <w:shd w:val="clear" w:color="000000" w:fill="FFDE82"/>
            <w:noWrap/>
            <w:vAlign w:val="center"/>
            <w:hideMark/>
          </w:tcPr>
          <w:p w:rsidR="008725D4" w:rsidRPr="008725D4" w:rsidRDefault="002E29C1" w:rsidP="00753A6A">
            <w:pPr>
              <w:autoSpaceDE/>
              <w:autoSpaceDN/>
              <w:adjustRightInd/>
              <w:spacing w:after="0"/>
              <w:jc w:val="center"/>
              <w:rPr>
                <w:rFonts w:ascii="Calibri" w:eastAsia="Times New Roman" w:hAnsi="Calibri" w:cs="Times New Roman"/>
                <w:sz w:val="22"/>
                <w:szCs w:val="22"/>
                <w:lang w:eastAsia="en-GB"/>
              </w:rPr>
            </w:pPr>
            <w:r w:rsidRPr="008725D4">
              <w:rPr>
                <w:rFonts w:ascii="Calibri" w:eastAsia="Times New Roman" w:hAnsi="Calibri" w:cs="Times New Roman"/>
                <w:sz w:val="22"/>
                <w:szCs w:val="22"/>
                <w:lang w:eastAsia="en-GB"/>
              </w:rPr>
              <w:t>124</w:t>
            </w:r>
          </w:p>
        </w:tc>
        <w:tc>
          <w:tcPr>
            <w:tcW w:w="474" w:type="pct"/>
            <w:shd w:val="clear" w:color="000000" w:fill="FDBC7B"/>
            <w:noWrap/>
            <w:vAlign w:val="center"/>
            <w:hideMark/>
          </w:tcPr>
          <w:p w:rsidR="008725D4" w:rsidRPr="008725D4" w:rsidRDefault="002E29C1" w:rsidP="00753A6A">
            <w:pPr>
              <w:autoSpaceDE/>
              <w:autoSpaceDN/>
              <w:adjustRightInd/>
              <w:spacing w:after="0"/>
              <w:jc w:val="center"/>
              <w:rPr>
                <w:rFonts w:ascii="Calibri" w:eastAsia="Times New Roman" w:hAnsi="Calibri" w:cs="Times New Roman"/>
                <w:sz w:val="22"/>
                <w:szCs w:val="22"/>
                <w:lang w:eastAsia="en-GB"/>
              </w:rPr>
            </w:pPr>
            <w:r w:rsidRPr="008725D4">
              <w:rPr>
                <w:rFonts w:ascii="Calibri" w:eastAsia="Times New Roman" w:hAnsi="Calibri" w:cs="Times New Roman"/>
                <w:sz w:val="22"/>
                <w:szCs w:val="22"/>
                <w:lang w:eastAsia="en-GB"/>
              </w:rPr>
              <w:t>153</w:t>
            </w:r>
          </w:p>
        </w:tc>
      </w:tr>
    </w:tbl>
    <w:p w:rsidR="00D20769" w:rsidRPr="00753A6A" w:rsidRDefault="002E29C1" w:rsidP="00034822">
      <w:pPr>
        <w:pStyle w:val="Heading1"/>
      </w:pPr>
      <w:bookmarkStart w:id="17" w:name="_Toc520456210"/>
      <w:r w:rsidRPr="00753A6A">
        <w:lastRenderedPageBreak/>
        <w:t>Reason for Delays – Lancashire Residents</w:t>
      </w:r>
      <w:bookmarkEnd w:id="17"/>
    </w:p>
    <w:p w:rsidR="00D20769" w:rsidRPr="00D37D08" w:rsidRDefault="002E29C1" w:rsidP="0069758B">
      <w:pPr>
        <w:spacing w:line="259" w:lineRule="auto"/>
        <w:rPr>
          <w:rFonts w:cs="Arial"/>
        </w:rPr>
      </w:pPr>
      <w:r w:rsidRPr="00753A6A">
        <w:rPr>
          <w:rFonts w:cs="Arial"/>
        </w:rPr>
        <w:t>In Aug-18 the primary reason for total L</w:t>
      </w:r>
      <w:r w:rsidRPr="00D37D08">
        <w:rPr>
          <w:rFonts w:cs="Arial"/>
        </w:rPr>
        <w:t>ancashire delays was once again assessment completion, the social care element of which showed an increase from 277 to 376 days. Social care delays incurred in arranging nursing care or a care package have also increased, but delays in arranging residential care have decreased: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2"/>
        <w:gridCol w:w="1545"/>
        <w:gridCol w:w="1545"/>
        <w:gridCol w:w="1544"/>
        <w:gridCol w:w="1544"/>
      </w:tblGrid>
      <w:tr w:rsidR="00040D04" w:rsidTr="00D37D08">
        <w:trPr>
          <w:trHeight w:val="20"/>
        </w:trPr>
        <w:tc>
          <w:tcPr>
            <w:tcW w:w="1570" w:type="pct"/>
            <w:shd w:val="clear" w:color="4F81BD" w:fill="4F81BD"/>
            <w:noWrap/>
            <w:vAlign w:val="bottom"/>
            <w:hideMark/>
          </w:tcPr>
          <w:p w:rsidR="00D37D08" w:rsidRPr="00D37D08" w:rsidRDefault="002E29C1" w:rsidP="00D37D08">
            <w:pPr>
              <w:spacing w:after="0"/>
              <w:rPr>
                <w:rFonts w:asciiTheme="minorHAnsi" w:eastAsia="Times New Roman" w:hAnsiTheme="minorHAnsi" w:cs="Times New Roman"/>
                <w:b/>
                <w:bCs/>
                <w:color w:val="FFFFFF"/>
                <w:sz w:val="22"/>
                <w:szCs w:val="20"/>
                <w:lang w:eastAsia="en-GB"/>
              </w:rPr>
            </w:pPr>
            <w:r w:rsidRPr="00D37D08">
              <w:rPr>
                <w:rFonts w:asciiTheme="minorHAnsi" w:eastAsia="Times New Roman" w:hAnsiTheme="minorHAnsi" w:cs="Times New Roman"/>
                <w:b/>
                <w:bCs/>
                <w:color w:val="FFFFFF"/>
                <w:sz w:val="22"/>
                <w:szCs w:val="20"/>
                <w:lang w:eastAsia="en-GB"/>
              </w:rPr>
              <w:t>Reason for delay</w:t>
            </w:r>
          </w:p>
          <w:p w:rsidR="00D37D08" w:rsidRPr="00D37D08" w:rsidRDefault="002E29C1" w:rsidP="00D37D08">
            <w:pPr>
              <w:spacing w:after="0"/>
              <w:rPr>
                <w:rFonts w:asciiTheme="minorHAnsi" w:eastAsia="Times New Roman" w:hAnsiTheme="minorHAnsi" w:cs="Times New Roman"/>
                <w:b/>
                <w:bCs/>
                <w:color w:val="FFFFFF"/>
                <w:sz w:val="22"/>
                <w:szCs w:val="20"/>
                <w:lang w:eastAsia="en-GB"/>
              </w:rPr>
            </w:pPr>
            <w:r w:rsidRPr="00D37D08">
              <w:rPr>
                <w:rFonts w:asciiTheme="minorHAnsi" w:eastAsia="Times New Roman" w:hAnsiTheme="minorHAnsi" w:cs="Times New Roman"/>
                <w:b/>
                <w:bCs/>
                <w:color w:val="FFFFFF"/>
                <w:sz w:val="22"/>
                <w:szCs w:val="20"/>
                <w:lang w:eastAsia="en-GB"/>
              </w:rPr>
              <w:t>Lancashire</w:t>
            </w:r>
          </w:p>
          <w:p w:rsidR="00473DD8" w:rsidRPr="00D37D08" w:rsidRDefault="002E29C1" w:rsidP="00D37D08">
            <w:pPr>
              <w:autoSpaceDE/>
              <w:autoSpaceDN/>
              <w:adjustRightInd/>
              <w:spacing w:after="0"/>
              <w:jc w:val="left"/>
              <w:rPr>
                <w:rFonts w:ascii="Calibri" w:eastAsia="Times New Roman" w:hAnsi="Calibri" w:cs="Times New Roman"/>
                <w:b/>
                <w:bCs/>
                <w:color w:val="FFFFFF"/>
                <w:sz w:val="20"/>
                <w:szCs w:val="22"/>
                <w:lang w:eastAsia="en-GB"/>
              </w:rPr>
            </w:pPr>
            <w:r w:rsidRPr="00D37D08">
              <w:rPr>
                <w:rFonts w:asciiTheme="minorHAnsi" w:eastAsia="Times New Roman" w:hAnsiTheme="minorHAnsi" w:cs="Times New Roman"/>
                <w:b/>
                <w:bCs/>
                <w:color w:val="FFFFFF"/>
                <w:sz w:val="22"/>
                <w:szCs w:val="20"/>
                <w:lang w:eastAsia="en-GB"/>
              </w:rPr>
              <w:t>(Jun-18 to Aug-18)</w:t>
            </w:r>
          </w:p>
        </w:tc>
        <w:tc>
          <w:tcPr>
            <w:tcW w:w="857" w:type="pct"/>
            <w:shd w:val="clear" w:color="4F81BD" w:fill="4F81BD"/>
            <w:noWrap/>
            <w:vAlign w:val="bottom"/>
            <w:hideMark/>
          </w:tcPr>
          <w:p w:rsidR="00473DD8" w:rsidRPr="00D37D08" w:rsidRDefault="002E29C1" w:rsidP="00473DD8">
            <w:pPr>
              <w:autoSpaceDE/>
              <w:autoSpaceDN/>
              <w:adjustRightInd/>
              <w:spacing w:after="0"/>
              <w:jc w:val="left"/>
              <w:rPr>
                <w:rFonts w:ascii="Calibri" w:eastAsia="Times New Roman" w:hAnsi="Calibri" w:cs="Times New Roman"/>
                <w:b/>
                <w:bCs/>
                <w:color w:val="FFFFFF"/>
                <w:sz w:val="20"/>
                <w:szCs w:val="22"/>
                <w:lang w:eastAsia="en-GB"/>
              </w:rPr>
            </w:pPr>
            <w:r w:rsidRPr="00D37D08">
              <w:rPr>
                <w:rFonts w:ascii="Calibri" w:eastAsia="Times New Roman" w:hAnsi="Calibri" w:cs="Times New Roman"/>
                <w:b/>
                <w:bCs/>
                <w:color w:val="FFFFFF"/>
                <w:sz w:val="20"/>
                <w:szCs w:val="22"/>
                <w:lang w:eastAsia="en-GB"/>
              </w:rPr>
              <w:t>Sum of NHS Days</w:t>
            </w:r>
          </w:p>
        </w:tc>
        <w:tc>
          <w:tcPr>
            <w:tcW w:w="857" w:type="pct"/>
            <w:shd w:val="clear" w:color="4F81BD" w:fill="4F81BD"/>
            <w:noWrap/>
            <w:vAlign w:val="bottom"/>
            <w:hideMark/>
          </w:tcPr>
          <w:p w:rsidR="00473DD8" w:rsidRPr="00D37D08" w:rsidRDefault="002E29C1" w:rsidP="00473DD8">
            <w:pPr>
              <w:autoSpaceDE/>
              <w:autoSpaceDN/>
              <w:adjustRightInd/>
              <w:spacing w:after="0"/>
              <w:jc w:val="left"/>
              <w:rPr>
                <w:rFonts w:ascii="Calibri" w:eastAsia="Times New Roman" w:hAnsi="Calibri" w:cs="Times New Roman"/>
                <w:b/>
                <w:bCs/>
                <w:color w:val="FFFFFF"/>
                <w:sz w:val="20"/>
                <w:szCs w:val="22"/>
                <w:lang w:eastAsia="en-GB"/>
              </w:rPr>
            </w:pPr>
            <w:r w:rsidRPr="00D37D08">
              <w:rPr>
                <w:rFonts w:ascii="Calibri" w:eastAsia="Times New Roman" w:hAnsi="Calibri" w:cs="Times New Roman"/>
                <w:b/>
                <w:bCs/>
                <w:color w:val="FFFFFF"/>
                <w:sz w:val="20"/>
                <w:szCs w:val="22"/>
                <w:lang w:eastAsia="en-GB"/>
              </w:rPr>
              <w:t>Sum of Social Care Days</w:t>
            </w:r>
          </w:p>
        </w:tc>
        <w:tc>
          <w:tcPr>
            <w:tcW w:w="857" w:type="pct"/>
            <w:shd w:val="clear" w:color="4F81BD" w:fill="4F81BD"/>
            <w:noWrap/>
            <w:vAlign w:val="bottom"/>
            <w:hideMark/>
          </w:tcPr>
          <w:p w:rsidR="00473DD8" w:rsidRPr="00D37D08" w:rsidRDefault="002E29C1" w:rsidP="00473DD8">
            <w:pPr>
              <w:autoSpaceDE/>
              <w:autoSpaceDN/>
              <w:adjustRightInd/>
              <w:spacing w:after="0"/>
              <w:jc w:val="left"/>
              <w:rPr>
                <w:rFonts w:ascii="Calibri" w:eastAsia="Times New Roman" w:hAnsi="Calibri" w:cs="Times New Roman"/>
                <w:b/>
                <w:bCs/>
                <w:color w:val="FFFFFF"/>
                <w:sz w:val="20"/>
                <w:szCs w:val="22"/>
                <w:lang w:eastAsia="en-GB"/>
              </w:rPr>
            </w:pPr>
            <w:r w:rsidRPr="00D37D08">
              <w:rPr>
                <w:rFonts w:ascii="Calibri" w:eastAsia="Times New Roman" w:hAnsi="Calibri" w:cs="Times New Roman"/>
                <w:b/>
                <w:bCs/>
                <w:color w:val="FFFFFF"/>
                <w:sz w:val="20"/>
                <w:szCs w:val="22"/>
                <w:lang w:eastAsia="en-GB"/>
              </w:rPr>
              <w:t>Sum of NHS and Social Care Days</w:t>
            </w:r>
          </w:p>
        </w:tc>
        <w:tc>
          <w:tcPr>
            <w:tcW w:w="857" w:type="pct"/>
            <w:shd w:val="clear" w:color="4F81BD" w:fill="4F81BD"/>
            <w:noWrap/>
            <w:vAlign w:val="bottom"/>
            <w:hideMark/>
          </w:tcPr>
          <w:p w:rsidR="00473DD8" w:rsidRPr="00D37D08" w:rsidRDefault="002E29C1" w:rsidP="00473DD8">
            <w:pPr>
              <w:autoSpaceDE/>
              <w:autoSpaceDN/>
              <w:adjustRightInd/>
              <w:spacing w:after="0"/>
              <w:jc w:val="left"/>
              <w:rPr>
                <w:rFonts w:ascii="Calibri" w:eastAsia="Times New Roman" w:hAnsi="Calibri" w:cs="Times New Roman"/>
                <w:b/>
                <w:bCs/>
                <w:color w:val="FFFFFF"/>
                <w:sz w:val="20"/>
                <w:szCs w:val="22"/>
                <w:lang w:eastAsia="en-GB"/>
              </w:rPr>
            </w:pPr>
            <w:r w:rsidRPr="00D37D08">
              <w:rPr>
                <w:rFonts w:ascii="Calibri" w:eastAsia="Times New Roman" w:hAnsi="Calibri" w:cs="Times New Roman"/>
                <w:b/>
                <w:bCs/>
                <w:color w:val="FFFFFF"/>
                <w:sz w:val="20"/>
                <w:szCs w:val="22"/>
                <w:lang w:eastAsia="en-GB"/>
              </w:rPr>
              <w:t>Sum of Total Days</w:t>
            </w:r>
          </w:p>
        </w:tc>
      </w:tr>
      <w:tr w:rsidR="00040D04" w:rsidTr="00D37D08">
        <w:trPr>
          <w:trHeight w:val="20"/>
        </w:trPr>
        <w:tc>
          <w:tcPr>
            <w:tcW w:w="1570" w:type="pct"/>
            <w:shd w:val="clear" w:color="DCE6F1" w:fill="DCE6F1"/>
            <w:noWrap/>
            <w:vAlign w:val="bottom"/>
            <w:hideMark/>
          </w:tcPr>
          <w:p w:rsidR="00473DD8" w:rsidRPr="00D37D08" w:rsidRDefault="002E29C1" w:rsidP="00473DD8">
            <w:pPr>
              <w:autoSpaceDE/>
              <w:autoSpaceDN/>
              <w:adjustRightInd/>
              <w:spacing w:after="0"/>
              <w:jc w:val="left"/>
              <w:rPr>
                <w:rFonts w:ascii="Calibri" w:eastAsia="Times New Roman" w:hAnsi="Calibri" w:cs="Times New Roman"/>
                <w:b/>
                <w:bCs/>
                <w:sz w:val="20"/>
                <w:szCs w:val="22"/>
                <w:lang w:eastAsia="en-GB"/>
              </w:rPr>
            </w:pPr>
            <w:r w:rsidRPr="00D37D08">
              <w:rPr>
                <w:rFonts w:ascii="Calibri" w:eastAsia="Times New Roman" w:hAnsi="Calibri" w:cs="Times New Roman"/>
                <w:b/>
                <w:bCs/>
                <w:sz w:val="20"/>
                <w:szCs w:val="22"/>
                <w:lang w:eastAsia="en-GB"/>
              </w:rPr>
              <w:t>A_COMPLETION_ASSESSMENT</w:t>
            </w:r>
          </w:p>
        </w:tc>
        <w:tc>
          <w:tcPr>
            <w:tcW w:w="857" w:type="pct"/>
            <w:shd w:val="clear" w:color="DCE6F1" w:fill="DCE6F1"/>
            <w:noWrap/>
            <w:vAlign w:val="bottom"/>
          </w:tcPr>
          <w:p w:rsidR="00473DD8" w:rsidRPr="00D37D08" w:rsidRDefault="00AC7EBD" w:rsidP="00473DD8">
            <w:pPr>
              <w:autoSpaceDE/>
              <w:autoSpaceDN/>
              <w:adjustRightInd/>
              <w:spacing w:after="0"/>
              <w:jc w:val="right"/>
              <w:rPr>
                <w:rFonts w:ascii="Calibri" w:eastAsia="Times New Roman" w:hAnsi="Calibri" w:cs="Times New Roman"/>
                <w:b/>
                <w:bCs/>
                <w:sz w:val="20"/>
                <w:szCs w:val="22"/>
                <w:lang w:eastAsia="en-GB"/>
              </w:rPr>
            </w:pPr>
          </w:p>
        </w:tc>
        <w:tc>
          <w:tcPr>
            <w:tcW w:w="857" w:type="pct"/>
            <w:shd w:val="clear" w:color="DCE6F1" w:fill="DCE6F1"/>
            <w:noWrap/>
            <w:vAlign w:val="bottom"/>
          </w:tcPr>
          <w:p w:rsidR="00473DD8" w:rsidRPr="00D37D08" w:rsidRDefault="00AC7EBD" w:rsidP="00473DD8">
            <w:pPr>
              <w:autoSpaceDE/>
              <w:autoSpaceDN/>
              <w:adjustRightInd/>
              <w:spacing w:after="0"/>
              <w:jc w:val="right"/>
              <w:rPr>
                <w:rFonts w:ascii="Calibri" w:eastAsia="Times New Roman" w:hAnsi="Calibri" w:cs="Times New Roman"/>
                <w:b/>
                <w:bCs/>
                <w:sz w:val="20"/>
                <w:szCs w:val="22"/>
                <w:lang w:eastAsia="en-GB"/>
              </w:rPr>
            </w:pPr>
          </w:p>
        </w:tc>
        <w:tc>
          <w:tcPr>
            <w:tcW w:w="857" w:type="pct"/>
            <w:shd w:val="clear" w:color="DCE6F1" w:fill="DCE6F1"/>
            <w:noWrap/>
            <w:vAlign w:val="bottom"/>
          </w:tcPr>
          <w:p w:rsidR="00473DD8" w:rsidRPr="00D37D08" w:rsidRDefault="00AC7EBD" w:rsidP="00473DD8">
            <w:pPr>
              <w:autoSpaceDE/>
              <w:autoSpaceDN/>
              <w:adjustRightInd/>
              <w:spacing w:after="0"/>
              <w:jc w:val="right"/>
              <w:rPr>
                <w:rFonts w:ascii="Calibri" w:eastAsia="Times New Roman" w:hAnsi="Calibri" w:cs="Times New Roman"/>
                <w:b/>
                <w:bCs/>
                <w:sz w:val="20"/>
                <w:szCs w:val="22"/>
                <w:lang w:eastAsia="en-GB"/>
              </w:rPr>
            </w:pPr>
          </w:p>
        </w:tc>
        <w:tc>
          <w:tcPr>
            <w:tcW w:w="857" w:type="pct"/>
            <w:shd w:val="clear" w:color="DCE6F1" w:fill="DCE6F1"/>
            <w:noWrap/>
            <w:vAlign w:val="bottom"/>
          </w:tcPr>
          <w:p w:rsidR="00473DD8" w:rsidRPr="00D37D08" w:rsidRDefault="00AC7EBD" w:rsidP="00473DD8">
            <w:pPr>
              <w:autoSpaceDE/>
              <w:autoSpaceDN/>
              <w:adjustRightInd/>
              <w:spacing w:after="0"/>
              <w:jc w:val="right"/>
              <w:rPr>
                <w:rFonts w:ascii="Calibri" w:eastAsia="Times New Roman" w:hAnsi="Calibri" w:cs="Times New Roman"/>
                <w:b/>
                <w:bCs/>
                <w:sz w:val="20"/>
                <w:szCs w:val="22"/>
                <w:lang w:eastAsia="en-GB"/>
              </w:rPr>
            </w:pPr>
          </w:p>
        </w:tc>
      </w:tr>
      <w:tr w:rsidR="00040D04" w:rsidTr="00D37D08">
        <w:trPr>
          <w:trHeight w:val="20"/>
        </w:trPr>
        <w:tc>
          <w:tcPr>
            <w:tcW w:w="1570" w:type="pct"/>
            <w:shd w:val="clear" w:color="auto" w:fill="auto"/>
            <w:noWrap/>
            <w:vAlign w:val="bottom"/>
            <w:hideMark/>
          </w:tcPr>
          <w:p w:rsidR="00473DD8" w:rsidRPr="00D37D08" w:rsidRDefault="002E29C1" w:rsidP="00473DD8">
            <w:pPr>
              <w:autoSpaceDE/>
              <w:autoSpaceDN/>
              <w:adjustRightInd/>
              <w:spacing w:after="0"/>
              <w:ind w:firstLineChars="100" w:firstLine="200"/>
              <w:jc w:val="lef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JUNE</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360</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307</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37</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704</w:t>
            </w:r>
          </w:p>
        </w:tc>
      </w:tr>
      <w:tr w:rsidR="00040D04" w:rsidTr="00D37D08">
        <w:trPr>
          <w:trHeight w:val="20"/>
        </w:trPr>
        <w:tc>
          <w:tcPr>
            <w:tcW w:w="1570" w:type="pct"/>
            <w:shd w:val="clear" w:color="auto" w:fill="auto"/>
            <w:noWrap/>
            <w:vAlign w:val="bottom"/>
            <w:hideMark/>
          </w:tcPr>
          <w:p w:rsidR="00473DD8" w:rsidRPr="00D37D08" w:rsidRDefault="002E29C1" w:rsidP="00473DD8">
            <w:pPr>
              <w:autoSpaceDE/>
              <w:autoSpaceDN/>
              <w:adjustRightInd/>
              <w:spacing w:after="0"/>
              <w:ind w:firstLineChars="100" w:firstLine="200"/>
              <w:jc w:val="lef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JULY</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307</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277</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25</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609</w:t>
            </w:r>
          </w:p>
        </w:tc>
      </w:tr>
      <w:tr w:rsidR="00040D04" w:rsidTr="00D37D08">
        <w:trPr>
          <w:trHeight w:val="20"/>
        </w:trPr>
        <w:tc>
          <w:tcPr>
            <w:tcW w:w="1570" w:type="pct"/>
            <w:shd w:val="clear" w:color="auto" w:fill="auto"/>
            <w:noWrap/>
            <w:vAlign w:val="bottom"/>
            <w:hideMark/>
          </w:tcPr>
          <w:p w:rsidR="00473DD8" w:rsidRPr="00D37D08" w:rsidRDefault="002E29C1" w:rsidP="00473DD8">
            <w:pPr>
              <w:autoSpaceDE/>
              <w:autoSpaceDN/>
              <w:adjustRightInd/>
              <w:spacing w:after="0"/>
              <w:ind w:firstLineChars="100" w:firstLine="200"/>
              <w:jc w:val="lef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AUGUST</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446</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376</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26</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848</w:t>
            </w:r>
          </w:p>
        </w:tc>
      </w:tr>
      <w:tr w:rsidR="00040D04" w:rsidTr="00D37D08">
        <w:trPr>
          <w:trHeight w:val="20"/>
        </w:trPr>
        <w:tc>
          <w:tcPr>
            <w:tcW w:w="1570" w:type="pct"/>
            <w:shd w:val="clear" w:color="DCE6F1" w:fill="DCE6F1"/>
            <w:noWrap/>
            <w:vAlign w:val="bottom"/>
            <w:hideMark/>
          </w:tcPr>
          <w:p w:rsidR="00473DD8" w:rsidRPr="00D37D08" w:rsidRDefault="002E29C1" w:rsidP="00473DD8">
            <w:pPr>
              <w:autoSpaceDE/>
              <w:autoSpaceDN/>
              <w:adjustRightInd/>
              <w:spacing w:after="0"/>
              <w:jc w:val="left"/>
              <w:rPr>
                <w:rFonts w:ascii="Calibri" w:eastAsia="Times New Roman" w:hAnsi="Calibri" w:cs="Times New Roman"/>
                <w:b/>
                <w:bCs/>
                <w:sz w:val="20"/>
                <w:szCs w:val="22"/>
                <w:lang w:eastAsia="en-GB"/>
              </w:rPr>
            </w:pPr>
            <w:r w:rsidRPr="00D37D08">
              <w:rPr>
                <w:rFonts w:ascii="Calibri" w:eastAsia="Times New Roman" w:hAnsi="Calibri" w:cs="Times New Roman"/>
                <w:b/>
                <w:bCs/>
                <w:sz w:val="20"/>
                <w:szCs w:val="22"/>
                <w:lang w:eastAsia="en-GB"/>
              </w:rPr>
              <w:t>B_PUBLIC_FUNDING</w:t>
            </w:r>
          </w:p>
        </w:tc>
        <w:tc>
          <w:tcPr>
            <w:tcW w:w="857" w:type="pct"/>
            <w:shd w:val="clear" w:color="DCE6F1" w:fill="DCE6F1"/>
            <w:noWrap/>
            <w:vAlign w:val="bottom"/>
          </w:tcPr>
          <w:p w:rsidR="00473DD8" w:rsidRPr="00D37D08" w:rsidRDefault="00AC7EBD" w:rsidP="00473DD8">
            <w:pPr>
              <w:autoSpaceDE/>
              <w:autoSpaceDN/>
              <w:adjustRightInd/>
              <w:spacing w:after="0"/>
              <w:jc w:val="right"/>
              <w:rPr>
                <w:rFonts w:ascii="Calibri" w:eastAsia="Times New Roman" w:hAnsi="Calibri" w:cs="Times New Roman"/>
                <w:b/>
                <w:bCs/>
                <w:sz w:val="20"/>
                <w:szCs w:val="22"/>
                <w:lang w:eastAsia="en-GB"/>
              </w:rPr>
            </w:pPr>
          </w:p>
        </w:tc>
        <w:tc>
          <w:tcPr>
            <w:tcW w:w="857" w:type="pct"/>
            <w:shd w:val="clear" w:color="DCE6F1" w:fill="DCE6F1"/>
            <w:noWrap/>
            <w:vAlign w:val="bottom"/>
          </w:tcPr>
          <w:p w:rsidR="00473DD8" w:rsidRPr="00D37D08" w:rsidRDefault="00AC7EBD" w:rsidP="00473DD8">
            <w:pPr>
              <w:autoSpaceDE/>
              <w:autoSpaceDN/>
              <w:adjustRightInd/>
              <w:spacing w:after="0"/>
              <w:jc w:val="right"/>
              <w:rPr>
                <w:rFonts w:ascii="Calibri" w:eastAsia="Times New Roman" w:hAnsi="Calibri" w:cs="Times New Roman"/>
                <w:b/>
                <w:bCs/>
                <w:sz w:val="20"/>
                <w:szCs w:val="22"/>
                <w:lang w:eastAsia="en-GB"/>
              </w:rPr>
            </w:pPr>
          </w:p>
        </w:tc>
        <w:tc>
          <w:tcPr>
            <w:tcW w:w="857" w:type="pct"/>
            <w:shd w:val="clear" w:color="DCE6F1" w:fill="DCE6F1"/>
            <w:noWrap/>
            <w:vAlign w:val="bottom"/>
          </w:tcPr>
          <w:p w:rsidR="00473DD8" w:rsidRPr="00D37D08" w:rsidRDefault="00AC7EBD" w:rsidP="00473DD8">
            <w:pPr>
              <w:autoSpaceDE/>
              <w:autoSpaceDN/>
              <w:adjustRightInd/>
              <w:spacing w:after="0"/>
              <w:jc w:val="right"/>
              <w:rPr>
                <w:rFonts w:ascii="Calibri" w:eastAsia="Times New Roman" w:hAnsi="Calibri" w:cs="Times New Roman"/>
                <w:b/>
                <w:bCs/>
                <w:sz w:val="20"/>
                <w:szCs w:val="22"/>
                <w:lang w:eastAsia="en-GB"/>
              </w:rPr>
            </w:pPr>
          </w:p>
        </w:tc>
        <w:tc>
          <w:tcPr>
            <w:tcW w:w="857" w:type="pct"/>
            <w:shd w:val="clear" w:color="DCE6F1" w:fill="DCE6F1"/>
            <w:noWrap/>
            <w:vAlign w:val="bottom"/>
          </w:tcPr>
          <w:p w:rsidR="00473DD8" w:rsidRPr="00D37D08" w:rsidRDefault="00AC7EBD" w:rsidP="00473DD8">
            <w:pPr>
              <w:autoSpaceDE/>
              <w:autoSpaceDN/>
              <w:adjustRightInd/>
              <w:spacing w:after="0"/>
              <w:jc w:val="right"/>
              <w:rPr>
                <w:rFonts w:ascii="Calibri" w:eastAsia="Times New Roman" w:hAnsi="Calibri" w:cs="Times New Roman"/>
                <w:b/>
                <w:bCs/>
                <w:sz w:val="20"/>
                <w:szCs w:val="22"/>
                <w:lang w:eastAsia="en-GB"/>
              </w:rPr>
            </w:pPr>
          </w:p>
        </w:tc>
      </w:tr>
      <w:tr w:rsidR="00040D04" w:rsidTr="00D37D08">
        <w:trPr>
          <w:trHeight w:val="20"/>
        </w:trPr>
        <w:tc>
          <w:tcPr>
            <w:tcW w:w="1570" w:type="pct"/>
            <w:shd w:val="clear" w:color="auto" w:fill="auto"/>
            <w:noWrap/>
            <w:vAlign w:val="bottom"/>
            <w:hideMark/>
          </w:tcPr>
          <w:p w:rsidR="00473DD8" w:rsidRPr="00D37D08" w:rsidRDefault="002E29C1" w:rsidP="00473DD8">
            <w:pPr>
              <w:autoSpaceDE/>
              <w:autoSpaceDN/>
              <w:adjustRightInd/>
              <w:spacing w:after="0"/>
              <w:ind w:firstLineChars="100" w:firstLine="200"/>
              <w:jc w:val="lef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JUNE</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104</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26</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63</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193</w:t>
            </w:r>
          </w:p>
        </w:tc>
      </w:tr>
      <w:tr w:rsidR="00040D04" w:rsidTr="00D37D08">
        <w:trPr>
          <w:trHeight w:val="20"/>
        </w:trPr>
        <w:tc>
          <w:tcPr>
            <w:tcW w:w="1570" w:type="pct"/>
            <w:shd w:val="clear" w:color="auto" w:fill="auto"/>
            <w:noWrap/>
            <w:vAlign w:val="bottom"/>
            <w:hideMark/>
          </w:tcPr>
          <w:p w:rsidR="00473DD8" w:rsidRPr="00D37D08" w:rsidRDefault="002E29C1" w:rsidP="00473DD8">
            <w:pPr>
              <w:autoSpaceDE/>
              <w:autoSpaceDN/>
              <w:adjustRightInd/>
              <w:spacing w:after="0"/>
              <w:ind w:firstLineChars="100" w:firstLine="200"/>
              <w:jc w:val="lef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JULY</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167</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18</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100</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285</w:t>
            </w:r>
          </w:p>
        </w:tc>
      </w:tr>
      <w:tr w:rsidR="00040D04" w:rsidTr="00D37D08">
        <w:trPr>
          <w:trHeight w:val="20"/>
        </w:trPr>
        <w:tc>
          <w:tcPr>
            <w:tcW w:w="1570" w:type="pct"/>
            <w:shd w:val="clear" w:color="auto" w:fill="auto"/>
            <w:noWrap/>
            <w:vAlign w:val="bottom"/>
            <w:hideMark/>
          </w:tcPr>
          <w:p w:rsidR="00473DD8" w:rsidRPr="00D37D08" w:rsidRDefault="002E29C1" w:rsidP="00473DD8">
            <w:pPr>
              <w:autoSpaceDE/>
              <w:autoSpaceDN/>
              <w:adjustRightInd/>
              <w:spacing w:after="0"/>
              <w:ind w:firstLineChars="100" w:firstLine="200"/>
              <w:jc w:val="lef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AUGUST</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102</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2</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80</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184</w:t>
            </w:r>
          </w:p>
        </w:tc>
      </w:tr>
      <w:tr w:rsidR="00040D04" w:rsidTr="00D37D08">
        <w:trPr>
          <w:trHeight w:val="20"/>
        </w:trPr>
        <w:tc>
          <w:tcPr>
            <w:tcW w:w="1570" w:type="pct"/>
            <w:shd w:val="clear" w:color="DCE6F1" w:fill="DCE6F1"/>
            <w:noWrap/>
            <w:vAlign w:val="bottom"/>
            <w:hideMark/>
          </w:tcPr>
          <w:p w:rsidR="00473DD8" w:rsidRPr="00D37D08" w:rsidRDefault="002E29C1" w:rsidP="00473DD8">
            <w:pPr>
              <w:autoSpaceDE/>
              <w:autoSpaceDN/>
              <w:adjustRightInd/>
              <w:spacing w:after="0"/>
              <w:jc w:val="left"/>
              <w:rPr>
                <w:rFonts w:ascii="Calibri" w:eastAsia="Times New Roman" w:hAnsi="Calibri" w:cs="Times New Roman"/>
                <w:b/>
                <w:bCs/>
                <w:sz w:val="20"/>
                <w:szCs w:val="22"/>
                <w:lang w:eastAsia="en-GB"/>
              </w:rPr>
            </w:pPr>
            <w:r w:rsidRPr="00D37D08">
              <w:rPr>
                <w:rFonts w:ascii="Calibri" w:eastAsia="Times New Roman" w:hAnsi="Calibri" w:cs="Times New Roman"/>
                <w:b/>
                <w:bCs/>
                <w:sz w:val="20"/>
                <w:szCs w:val="22"/>
                <w:lang w:eastAsia="en-GB"/>
              </w:rPr>
              <w:t>C_FURTHER_NON_ACUTE_NHS</w:t>
            </w:r>
          </w:p>
        </w:tc>
        <w:tc>
          <w:tcPr>
            <w:tcW w:w="857" w:type="pct"/>
            <w:shd w:val="clear" w:color="DCE6F1" w:fill="DCE6F1"/>
            <w:noWrap/>
            <w:vAlign w:val="bottom"/>
          </w:tcPr>
          <w:p w:rsidR="00473DD8" w:rsidRPr="00D37D08" w:rsidRDefault="00AC7EBD" w:rsidP="00473DD8">
            <w:pPr>
              <w:autoSpaceDE/>
              <w:autoSpaceDN/>
              <w:adjustRightInd/>
              <w:spacing w:after="0"/>
              <w:jc w:val="right"/>
              <w:rPr>
                <w:rFonts w:ascii="Calibri" w:eastAsia="Times New Roman" w:hAnsi="Calibri" w:cs="Times New Roman"/>
                <w:b/>
                <w:bCs/>
                <w:sz w:val="20"/>
                <w:szCs w:val="22"/>
                <w:lang w:eastAsia="en-GB"/>
              </w:rPr>
            </w:pPr>
          </w:p>
        </w:tc>
        <w:tc>
          <w:tcPr>
            <w:tcW w:w="857" w:type="pct"/>
            <w:shd w:val="clear" w:color="DCE6F1" w:fill="DCE6F1"/>
            <w:noWrap/>
            <w:vAlign w:val="bottom"/>
          </w:tcPr>
          <w:p w:rsidR="00473DD8" w:rsidRPr="00D37D08" w:rsidRDefault="00AC7EBD" w:rsidP="00473DD8">
            <w:pPr>
              <w:autoSpaceDE/>
              <w:autoSpaceDN/>
              <w:adjustRightInd/>
              <w:spacing w:after="0"/>
              <w:jc w:val="right"/>
              <w:rPr>
                <w:rFonts w:ascii="Calibri" w:eastAsia="Times New Roman" w:hAnsi="Calibri" w:cs="Times New Roman"/>
                <w:b/>
                <w:bCs/>
                <w:sz w:val="20"/>
                <w:szCs w:val="22"/>
                <w:lang w:eastAsia="en-GB"/>
              </w:rPr>
            </w:pPr>
          </w:p>
        </w:tc>
        <w:tc>
          <w:tcPr>
            <w:tcW w:w="857" w:type="pct"/>
            <w:shd w:val="clear" w:color="DCE6F1" w:fill="DCE6F1"/>
            <w:noWrap/>
            <w:vAlign w:val="bottom"/>
          </w:tcPr>
          <w:p w:rsidR="00473DD8" w:rsidRPr="00D37D08" w:rsidRDefault="00AC7EBD" w:rsidP="00473DD8">
            <w:pPr>
              <w:autoSpaceDE/>
              <w:autoSpaceDN/>
              <w:adjustRightInd/>
              <w:spacing w:after="0"/>
              <w:jc w:val="right"/>
              <w:rPr>
                <w:rFonts w:ascii="Calibri" w:eastAsia="Times New Roman" w:hAnsi="Calibri" w:cs="Times New Roman"/>
                <w:b/>
                <w:bCs/>
                <w:sz w:val="20"/>
                <w:szCs w:val="22"/>
                <w:lang w:eastAsia="en-GB"/>
              </w:rPr>
            </w:pPr>
          </w:p>
        </w:tc>
        <w:tc>
          <w:tcPr>
            <w:tcW w:w="857" w:type="pct"/>
            <w:shd w:val="clear" w:color="DCE6F1" w:fill="DCE6F1"/>
            <w:noWrap/>
            <w:vAlign w:val="bottom"/>
          </w:tcPr>
          <w:p w:rsidR="00473DD8" w:rsidRPr="00D37D08" w:rsidRDefault="00AC7EBD" w:rsidP="00473DD8">
            <w:pPr>
              <w:autoSpaceDE/>
              <w:autoSpaceDN/>
              <w:adjustRightInd/>
              <w:spacing w:after="0"/>
              <w:jc w:val="right"/>
              <w:rPr>
                <w:rFonts w:ascii="Calibri" w:eastAsia="Times New Roman" w:hAnsi="Calibri" w:cs="Times New Roman"/>
                <w:b/>
                <w:bCs/>
                <w:sz w:val="20"/>
                <w:szCs w:val="22"/>
                <w:lang w:eastAsia="en-GB"/>
              </w:rPr>
            </w:pPr>
          </w:p>
        </w:tc>
      </w:tr>
      <w:tr w:rsidR="00040D04" w:rsidTr="00D37D08">
        <w:trPr>
          <w:trHeight w:val="20"/>
        </w:trPr>
        <w:tc>
          <w:tcPr>
            <w:tcW w:w="1570" w:type="pct"/>
            <w:shd w:val="clear" w:color="auto" w:fill="auto"/>
            <w:noWrap/>
            <w:vAlign w:val="bottom"/>
            <w:hideMark/>
          </w:tcPr>
          <w:p w:rsidR="00473DD8" w:rsidRPr="00D37D08" w:rsidRDefault="002E29C1" w:rsidP="00473DD8">
            <w:pPr>
              <w:autoSpaceDE/>
              <w:autoSpaceDN/>
              <w:adjustRightInd/>
              <w:spacing w:after="0"/>
              <w:ind w:firstLineChars="100" w:firstLine="200"/>
              <w:jc w:val="lef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JUNE</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239</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0</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0</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239</w:t>
            </w:r>
          </w:p>
        </w:tc>
      </w:tr>
      <w:tr w:rsidR="00040D04" w:rsidTr="00D37D08">
        <w:trPr>
          <w:trHeight w:val="20"/>
        </w:trPr>
        <w:tc>
          <w:tcPr>
            <w:tcW w:w="1570" w:type="pct"/>
            <w:shd w:val="clear" w:color="auto" w:fill="auto"/>
            <w:noWrap/>
            <w:vAlign w:val="bottom"/>
            <w:hideMark/>
          </w:tcPr>
          <w:p w:rsidR="00473DD8" w:rsidRPr="00D37D08" w:rsidRDefault="002E29C1" w:rsidP="00473DD8">
            <w:pPr>
              <w:autoSpaceDE/>
              <w:autoSpaceDN/>
              <w:adjustRightInd/>
              <w:spacing w:after="0"/>
              <w:ind w:firstLineChars="100" w:firstLine="200"/>
              <w:jc w:val="lef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JULY</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391</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0</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0</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391</w:t>
            </w:r>
          </w:p>
        </w:tc>
      </w:tr>
      <w:tr w:rsidR="00040D04" w:rsidTr="00D37D08">
        <w:trPr>
          <w:trHeight w:val="20"/>
        </w:trPr>
        <w:tc>
          <w:tcPr>
            <w:tcW w:w="1570" w:type="pct"/>
            <w:shd w:val="clear" w:color="auto" w:fill="auto"/>
            <w:noWrap/>
            <w:vAlign w:val="bottom"/>
            <w:hideMark/>
          </w:tcPr>
          <w:p w:rsidR="00473DD8" w:rsidRPr="00D37D08" w:rsidRDefault="002E29C1" w:rsidP="00473DD8">
            <w:pPr>
              <w:autoSpaceDE/>
              <w:autoSpaceDN/>
              <w:adjustRightInd/>
              <w:spacing w:after="0"/>
              <w:ind w:firstLineChars="100" w:firstLine="200"/>
              <w:jc w:val="lef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AUGUST</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298</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0</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0</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298</w:t>
            </w:r>
          </w:p>
        </w:tc>
      </w:tr>
      <w:tr w:rsidR="00040D04" w:rsidTr="00D37D08">
        <w:trPr>
          <w:trHeight w:val="20"/>
        </w:trPr>
        <w:tc>
          <w:tcPr>
            <w:tcW w:w="1570" w:type="pct"/>
            <w:shd w:val="clear" w:color="DCE6F1" w:fill="DCE6F1"/>
            <w:noWrap/>
            <w:vAlign w:val="bottom"/>
            <w:hideMark/>
          </w:tcPr>
          <w:p w:rsidR="00473DD8" w:rsidRPr="00D37D08" w:rsidRDefault="002E29C1" w:rsidP="00473DD8">
            <w:pPr>
              <w:autoSpaceDE/>
              <w:autoSpaceDN/>
              <w:adjustRightInd/>
              <w:spacing w:after="0"/>
              <w:jc w:val="left"/>
              <w:rPr>
                <w:rFonts w:ascii="Calibri" w:eastAsia="Times New Roman" w:hAnsi="Calibri" w:cs="Times New Roman"/>
                <w:b/>
                <w:bCs/>
                <w:sz w:val="20"/>
                <w:szCs w:val="22"/>
                <w:lang w:eastAsia="en-GB"/>
              </w:rPr>
            </w:pPr>
            <w:r w:rsidRPr="00D37D08">
              <w:rPr>
                <w:rFonts w:ascii="Calibri" w:eastAsia="Times New Roman" w:hAnsi="Calibri" w:cs="Times New Roman"/>
                <w:b/>
                <w:bCs/>
                <w:sz w:val="20"/>
                <w:szCs w:val="22"/>
                <w:lang w:eastAsia="en-GB"/>
              </w:rPr>
              <w:t>DI_RESIDENTIAL_HOME</w:t>
            </w:r>
          </w:p>
        </w:tc>
        <w:tc>
          <w:tcPr>
            <w:tcW w:w="857" w:type="pct"/>
            <w:shd w:val="clear" w:color="DCE6F1" w:fill="DCE6F1"/>
            <w:noWrap/>
            <w:vAlign w:val="bottom"/>
          </w:tcPr>
          <w:p w:rsidR="00473DD8" w:rsidRPr="00D37D08" w:rsidRDefault="00AC7EBD" w:rsidP="00473DD8">
            <w:pPr>
              <w:autoSpaceDE/>
              <w:autoSpaceDN/>
              <w:adjustRightInd/>
              <w:spacing w:after="0"/>
              <w:jc w:val="right"/>
              <w:rPr>
                <w:rFonts w:ascii="Calibri" w:eastAsia="Times New Roman" w:hAnsi="Calibri" w:cs="Times New Roman"/>
                <w:b/>
                <w:bCs/>
                <w:sz w:val="20"/>
                <w:szCs w:val="22"/>
                <w:lang w:eastAsia="en-GB"/>
              </w:rPr>
            </w:pPr>
          </w:p>
        </w:tc>
        <w:tc>
          <w:tcPr>
            <w:tcW w:w="857" w:type="pct"/>
            <w:shd w:val="clear" w:color="DCE6F1" w:fill="DCE6F1"/>
            <w:noWrap/>
            <w:vAlign w:val="bottom"/>
          </w:tcPr>
          <w:p w:rsidR="00473DD8" w:rsidRPr="00D37D08" w:rsidRDefault="00AC7EBD" w:rsidP="00473DD8">
            <w:pPr>
              <w:autoSpaceDE/>
              <w:autoSpaceDN/>
              <w:adjustRightInd/>
              <w:spacing w:after="0"/>
              <w:jc w:val="right"/>
              <w:rPr>
                <w:rFonts w:ascii="Calibri" w:eastAsia="Times New Roman" w:hAnsi="Calibri" w:cs="Times New Roman"/>
                <w:b/>
                <w:bCs/>
                <w:sz w:val="20"/>
                <w:szCs w:val="22"/>
                <w:lang w:eastAsia="en-GB"/>
              </w:rPr>
            </w:pPr>
          </w:p>
        </w:tc>
        <w:tc>
          <w:tcPr>
            <w:tcW w:w="857" w:type="pct"/>
            <w:shd w:val="clear" w:color="DCE6F1" w:fill="DCE6F1"/>
            <w:noWrap/>
            <w:vAlign w:val="bottom"/>
          </w:tcPr>
          <w:p w:rsidR="00473DD8" w:rsidRPr="00D37D08" w:rsidRDefault="00AC7EBD" w:rsidP="00473DD8">
            <w:pPr>
              <w:autoSpaceDE/>
              <w:autoSpaceDN/>
              <w:adjustRightInd/>
              <w:spacing w:after="0"/>
              <w:jc w:val="right"/>
              <w:rPr>
                <w:rFonts w:ascii="Calibri" w:eastAsia="Times New Roman" w:hAnsi="Calibri" w:cs="Times New Roman"/>
                <w:b/>
                <w:bCs/>
                <w:sz w:val="20"/>
                <w:szCs w:val="22"/>
                <w:lang w:eastAsia="en-GB"/>
              </w:rPr>
            </w:pPr>
          </w:p>
        </w:tc>
        <w:tc>
          <w:tcPr>
            <w:tcW w:w="857" w:type="pct"/>
            <w:shd w:val="clear" w:color="DCE6F1" w:fill="DCE6F1"/>
            <w:noWrap/>
            <w:vAlign w:val="bottom"/>
          </w:tcPr>
          <w:p w:rsidR="00473DD8" w:rsidRPr="00D37D08" w:rsidRDefault="00AC7EBD" w:rsidP="00473DD8">
            <w:pPr>
              <w:autoSpaceDE/>
              <w:autoSpaceDN/>
              <w:adjustRightInd/>
              <w:spacing w:after="0"/>
              <w:jc w:val="right"/>
              <w:rPr>
                <w:rFonts w:ascii="Calibri" w:eastAsia="Times New Roman" w:hAnsi="Calibri" w:cs="Times New Roman"/>
                <w:b/>
                <w:bCs/>
                <w:sz w:val="20"/>
                <w:szCs w:val="22"/>
                <w:lang w:eastAsia="en-GB"/>
              </w:rPr>
            </w:pPr>
          </w:p>
        </w:tc>
      </w:tr>
      <w:tr w:rsidR="00040D04" w:rsidTr="00D37D08">
        <w:trPr>
          <w:trHeight w:val="20"/>
        </w:trPr>
        <w:tc>
          <w:tcPr>
            <w:tcW w:w="1570" w:type="pct"/>
            <w:shd w:val="clear" w:color="auto" w:fill="auto"/>
            <w:noWrap/>
            <w:vAlign w:val="bottom"/>
            <w:hideMark/>
          </w:tcPr>
          <w:p w:rsidR="00473DD8" w:rsidRPr="00D37D08" w:rsidRDefault="002E29C1" w:rsidP="00473DD8">
            <w:pPr>
              <w:autoSpaceDE/>
              <w:autoSpaceDN/>
              <w:adjustRightInd/>
              <w:spacing w:after="0"/>
              <w:ind w:firstLineChars="100" w:firstLine="200"/>
              <w:jc w:val="lef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JUNE</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91</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387</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0</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478</w:t>
            </w:r>
          </w:p>
        </w:tc>
      </w:tr>
      <w:tr w:rsidR="00040D04" w:rsidTr="00D37D08">
        <w:trPr>
          <w:trHeight w:val="20"/>
        </w:trPr>
        <w:tc>
          <w:tcPr>
            <w:tcW w:w="1570" w:type="pct"/>
            <w:shd w:val="clear" w:color="auto" w:fill="auto"/>
            <w:noWrap/>
            <w:vAlign w:val="bottom"/>
            <w:hideMark/>
          </w:tcPr>
          <w:p w:rsidR="00473DD8" w:rsidRPr="00D37D08" w:rsidRDefault="002E29C1" w:rsidP="00473DD8">
            <w:pPr>
              <w:autoSpaceDE/>
              <w:autoSpaceDN/>
              <w:adjustRightInd/>
              <w:spacing w:after="0"/>
              <w:ind w:firstLineChars="100" w:firstLine="200"/>
              <w:jc w:val="lef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JULY</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93</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303</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0</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396</w:t>
            </w:r>
          </w:p>
        </w:tc>
      </w:tr>
      <w:tr w:rsidR="00040D04" w:rsidTr="00D37D08">
        <w:trPr>
          <w:trHeight w:val="20"/>
        </w:trPr>
        <w:tc>
          <w:tcPr>
            <w:tcW w:w="1570" w:type="pct"/>
            <w:shd w:val="clear" w:color="auto" w:fill="auto"/>
            <w:noWrap/>
            <w:vAlign w:val="bottom"/>
            <w:hideMark/>
          </w:tcPr>
          <w:p w:rsidR="00473DD8" w:rsidRPr="00D37D08" w:rsidRDefault="002E29C1" w:rsidP="00473DD8">
            <w:pPr>
              <w:autoSpaceDE/>
              <w:autoSpaceDN/>
              <w:adjustRightInd/>
              <w:spacing w:after="0"/>
              <w:ind w:firstLineChars="100" w:firstLine="200"/>
              <w:jc w:val="lef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AUGUST</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99</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254</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0</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353</w:t>
            </w:r>
          </w:p>
        </w:tc>
      </w:tr>
      <w:tr w:rsidR="00040D04" w:rsidTr="00D37D08">
        <w:trPr>
          <w:trHeight w:val="20"/>
        </w:trPr>
        <w:tc>
          <w:tcPr>
            <w:tcW w:w="1570" w:type="pct"/>
            <w:shd w:val="clear" w:color="DCE6F1" w:fill="DCE6F1"/>
            <w:noWrap/>
            <w:vAlign w:val="bottom"/>
            <w:hideMark/>
          </w:tcPr>
          <w:p w:rsidR="00473DD8" w:rsidRPr="00D37D08" w:rsidRDefault="002E29C1" w:rsidP="00473DD8">
            <w:pPr>
              <w:autoSpaceDE/>
              <w:autoSpaceDN/>
              <w:adjustRightInd/>
              <w:spacing w:after="0"/>
              <w:jc w:val="left"/>
              <w:rPr>
                <w:rFonts w:ascii="Calibri" w:eastAsia="Times New Roman" w:hAnsi="Calibri" w:cs="Times New Roman"/>
                <w:b/>
                <w:bCs/>
                <w:sz w:val="20"/>
                <w:szCs w:val="22"/>
                <w:lang w:eastAsia="en-GB"/>
              </w:rPr>
            </w:pPr>
            <w:r w:rsidRPr="00D37D08">
              <w:rPr>
                <w:rFonts w:ascii="Calibri" w:eastAsia="Times New Roman" w:hAnsi="Calibri" w:cs="Times New Roman"/>
                <w:b/>
                <w:bCs/>
                <w:sz w:val="20"/>
                <w:szCs w:val="22"/>
                <w:lang w:eastAsia="en-GB"/>
              </w:rPr>
              <w:t>DII_NURSING_HOME</w:t>
            </w:r>
          </w:p>
        </w:tc>
        <w:tc>
          <w:tcPr>
            <w:tcW w:w="857" w:type="pct"/>
            <w:shd w:val="clear" w:color="DCE6F1" w:fill="DCE6F1"/>
            <w:noWrap/>
            <w:vAlign w:val="bottom"/>
          </w:tcPr>
          <w:p w:rsidR="00473DD8" w:rsidRPr="00D37D08" w:rsidRDefault="00AC7EBD" w:rsidP="00473DD8">
            <w:pPr>
              <w:autoSpaceDE/>
              <w:autoSpaceDN/>
              <w:adjustRightInd/>
              <w:spacing w:after="0"/>
              <w:jc w:val="right"/>
              <w:rPr>
                <w:rFonts w:ascii="Calibri" w:eastAsia="Times New Roman" w:hAnsi="Calibri" w:cs="Times New Roman"/>
                <w:b/>
                <w:bCs/>
                <w:sz w:val="20"/>
                <w:szCs w:val="22"/>
                <w:lang w:eastAsia="en-GB"/>
              </w:rPr>
            </w:pPr>
          </w:p>
        </w:tc>
        <w:tc>
          <w:tcPr>
            <w:tcW w:w="857" w:type="pct"/>
            <w:shd w:val="clear" w:color="DCE6F1" w:fill="DCE6F1"/>
            <w:noWrap/>
            <w:vAlign w:val="bottom"/>
          </w:tcPr>
          <w:p w:rsidR="00473DD8" w:rsidRPr="00D37D08" w:rsidRDefault="00AC7EBD" w:rsidP="00473DD8">
            <w:pPr>
              <w:autoSpaceDE/>
              <w:autoSpaceDN/>
              <w:adjustRightInd/>
              <w:spacing w:after="0"/>
              <w:jc w:val="right"/>
              <w:rPr>
                <w:rFonts w:ascii="Calibri" w:eastAsia="Times New Roman" w:hAnsi="Calibri" w:cs="Times New Roman"/>
                <w:b/>
                <w:bCs/>
                <w:sz w:val="20"/>
                <w:szCs w:val="22"/>
                <w:lang w:eastAsia="en-GB"/>
              </w:rPr>
            </w:pPr>
          </w:p>
        </w:tc>
        <w:tc>
          <w:tcPr>
            <w:tcW w:w="857" w:type="pct"/>
            <w:shd w:val="clear" w:color="DCE6F1" w:fill="DCE6F1"/>
            <w:noWrap/>
            <w:vAlign w:val="bottom"/>
          </w:tcPr>
          <w:p w:rsidR="00473DD8" w:rsidRPr="00D37D08" w:rsidRDefault="00AC7EBD" w:rsidP="00473DD8">
            <w:pPr>
              <w:autoSpaceDE/>
              <w:autoSpaceDN/>
              <w:adjustRightInd/>
              <w:spacing w:after="0"/>
              <w:jc w:val="right"/>
              <w:rPr>
                <w:rFonts w:ascii="Calibri" w:eastAsia="Times New Roman" w:hAnsi="Calibri" w:cs="Times New Roman"/>
                <w:b/>
                <w:bCs/>
                <w:sz w:val="20"/>
                <w:szCs w:val="22"/>
                <w:lang w:eastAsia="en-GB"/>
              </w:rPr>
            </w:pPr>
          </w:p>
        </w:tc>
        <w:tc>
          <w:tcPr>
            <w:tcW w:w="857" w:type="pct"/>
            <w:shd w:val="clear" w:color="DCE6F1" w:fill="DCE6F1"/>
            <w:noWrap/>
            <w:vAlign w:val="bottom"/>
          </w:tcPr>
          <w:p w:rsidR="00473DD8" w:rsidRPr="00D37D08" w:rsidRDefault="00AC7EBD" w:rsidP="00473DD8">
            <w:pPr>
              <w:autoSpaceDE/>
              <w:autoSpaceDN/>
              <w:adjustRightInd/>
              <w:spacing w:after="0"/>
              <w:jc w:val="right"/>
              <w:rPr>
                <w:rFonts w:ascii="Calibri" w:eastAsia="Times New Roman" w:hAnsi="Calibri" w:cs="Times New Roman"/>
                <w:b/>
                <w:bCs/>
                <w:sz w:val="20"/>
                <w:szCs w:val="22"/>
                <w:lang w:eastAsia="en-GB"/>
              </w:rPr>
            </w:pPr>
          </w:p>
        </w:tc>
      </w:tr>
      <w:tr w:rsidR="00040D04" w:rsidTr="00D37D08">
        <w:trPr>
          <w:trHeight w:val="20"/>
        </w:trPr>
        <w:tc>
          <w:tcPr>
            <w:tcW w:w="1570" w:type="pct"/>
            <w:shd w:val="clear" w:color="auto" w:fill="auto"/>
            <w:noWrap/>
            <w:vAlign w:val="bottom"/>
            <w:hideMark/>
          </w:tcPr>
          <w:p w:rsidR="00473DD8" w:rsidRPr="00D37D08" w:rsidRDefault="002E29C1" w:rsidP="00473DD8">
            <w:pPr>
              <w:autoSpaceDE/>
              <w:autoSpaceDN/>
              <w:adjustRightInd/>
              <w:spacing w:after="0"/>
              <w:ind w:firstLineChars="100" w:firstLine="200"/>
              <w:jc w:val="lef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JUNE</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152</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154</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51</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357</w:t>
            </w:r>
          </w:p>
        </w:tc>
      </w:tr>
      <w:tr w:rsidR="00040D04" w:rsidTr="00D37D08">
        <w:trPr>
          <w:trHeight w:val="20"/>
        </w:trPr>
        <w:tc>
          <w:tcPr>
            <w:tcW w:w="1570" w:type="pct"/>
            <w:shd w:val="clear" w:color="auto" w:fill="auto"/>
            <w:noWrap/>
            <w:vAlign w:val="bottom"/>
            <w:hideMark/>
          </w:tcPr>
          <w:p w:rsidR="00473DD8" w:rsidRPr="00D37D08" w:rsidRDefault="002E29C1" w:rsidP="00473DD8">
            <w:pPr>
              <w:autoSpaceDE/>
              <w:autoSpaceDN/>
              <w:adjustRightInd/>
              <w:spacing w:after="0"/>
              <w:ind w:firstLineChars="100" w:firstLine="200"/>
              <w:jc w:val="lef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JULY</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110</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126</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64</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300</w:t>
            </w:r>
          </w:p>
        </w:tc>
      </w:tr>
      <w:tr w:rsidR="00040D04" w:rsidTr="00D37D08">
        <w:trPr>
          <w:trHeight w:val="20"/>
        </w:trPr>
        <w:tc>
          <w:tcPr>
            <w:tcW w:w="1570" w:type="pct"/>
            <w:shd w:val="clear" w:color="auto" w:fill="auto"/>
            <w:noWrap/>
            <w:vAlign w:val="bottom"/>
            <w:hideMark/>
          </w:tcPr>
          <w:p w:rsidR="00473DD8" w:rsidRPr="00D37D08" w:rsidRDefault="002E29C1" w:rsidP="00473DD8">
            <w:pPr>
              <w:autoSpaceDE/>
              <w:autoSpaceDN/>
              <w:adjustRightInd/>
              <w:spacing w:after="0"/>
              <w:ind w:firstLineChars="100" w:firstLine="200"/>
              <w:jc w:val="lef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AUGUST</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212</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254</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66</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532</w:t>
            </w:r>
          </w:p>
        </w:tc>
      </w:tr>
      <w:tr w:rsidR="00040D04" w:rsidTr="00D37D08">
        <w:trPr>
          <w:trHeight w:val="20"/>
        </w:trPr>
        <w:tc>
          <w:tcPr>
            <w:tcW w:w="1570" w:type="pct"/>
            <w:shd w:val="clear" w:color="DCE6F1" w:fill="DCE6F1"/>
            <w:noWrap/>
            <w:vAlign w:val="bottom"/>
            <w:hideMark/>
          </w:tcPr>
          <w:p w:rsidR="00473DD8" w:rsidRPr="00D37D08" w:rsidRDefault="002E29C1" w:rsidP="00473DD8">
            <w:pPr>
              <w:autoSpaceDE/>
              <w:autoSpaceDN/>
              <w:adjustRightInd/>
              <w:spacing w:after="0"/>
              <w:jc w:val="left"/>
              <w:rPr>
                <w:rFonts w:ascii="Calibri" w:eastAsia="Times New Roman" w:hAnsi="Calibri" w:cs="Times New Roman"/>
                <w:b/>
                <w:bCs/>
                <w:sz w:val="20"/>
                <w:szCs w:val="22"/>
                <w:lang w:eastAsia="en-GB"/>
              </w:rPr>
            </w:pPr>
            <w:r w:rsidRPr="00D37D08">
              <w:rPr>
                <w:rFonts w:ascii="Calibri" w:eastAsia="Times New Roman" w:hAnsi="Calibri" w:cs="Times New Roman"/>
                <w:b/>
                <w:bCs/>
                <w:sz w:val="20"/>
                <w:szCs w:val="22"/>
                <w:lang w:eastAsia="en-GB"/>
              </w:rPr>
              <w:t>E_CARE_PACKAGE_IN_HOME</w:t>
            </w:r>
          </w:p>
        </w:tc>
        <w:tc>
          <w:tcPr>
            <w:tcW w:w="857" w:type="pct"/>
            <w:shd w:val="clear" w:color="DCE6F1" w:fill="DCE6F1"/>
            <w:noWrap/>
            <w:vAlign w:val="bottom"/>
          </w:tcPr>
          <w:p w:rsidR="00473DD8" w:rsidRPr="00D37D08" w:rsidRDefault="00AC7EBD" w:rsidP="00473DD8">
            <w:pPr>
              <w:autoSpaceDE/>
              <w:autoSpaceDN/>
              <w:adjustRightInd/>
              <w:spacing w:after="0"/>
              <w:jc w:val="right"/>
              <w:rPr>
                <w:rFonts w:ascii="Calibri" w:eastAsia="Times New Roman" w:hAnsi="Calibri" w:cs="Times New Roman"/>
                <w:b/>
                <w:bCs/>
                <w:sz w:val="20"/>
                <w:szCs w:val="22"/>
                <w:lang w:eastAsia="en-GB"/>
              </w:rPr>
            </w:pPr>
          </w:p>
        </w:tc>
        <w:tc>
          <w:tcPr>
            <w:tcW w:w="857" w:type="pct"/>
            <w:shd w:val="clear" w:color="DCE6F1" w:fill="DCE6F1"/>
            <w:noWrap/>
            <w:vAlign w:val="bottom"/>
          </w:tcPr>
          <w:p w:rsidR="00473DD8" w:rsidRPr="00D37D08" w:rsidRDefault="00AC7EBD" w:rsidP="00473DD8">
            <w:pPr>
              <w:autoSpaceDE/>
              <w:autoSpaceDN/>
              <w:adjustRightInd/>
              <w:spacing w:after="0"/>
              <w:jc w:val="right"/>
              <w:rPr>
                <w:rFonts w:ascii="Calibri" w:eastAsia="Times New Roman" w:hAnsi="Calibri" w:cs="Times New Roman"/>
                <w:b/>
                <w:bCs/>
                <w:sz w:val="20"/>
                <w:szCs w:val="22"/>
                <w:lang w:eastAsia="en-GB"/>
              </w:rPr>
            </w:pPr>
          </w:p>
        </w:tc>
        <w:tc>
          <w:tcPr>
            <w:tcW w:w="857" w:type="pct"/>
            <w:shd w:val="clear" w:color="DCE6F1" w:fill="DCE6F1"/>
            <w:noWrap/>
            <w:vAlign w:val="bottom"/>
          </w:tcPr>
          <w:p w:rsidR="00473DD8" w:rsidRPr="00D37D08" w:rsidRDefault="00AC7EBD" w:rsidP="00473DD8">
            <w:pPr>
              <w:autoSpaceDE/>
              <w:autoSpaceDN/>
              <w:adjustRightInd/>
              <w:spacing w:after="0"/>
              <w:jc w:val="right"/>
              <w:rPr>
                <w:rFonts w:ascii="Calibri" w:eastAsia="Times New Roman" w:hAnsi="Calibri" w:cs="Times New Roman"/>
                <w:b/>
                <w:bCs/>
                <w:sz w:val="20"/>
                <w:szCs w:val="22"/>
                <w:lang w:eastAsia="en-GB"/>
              </w:rPr>
            </w:pPr>
          </w:p>
        </w:tc>
        <w:tc>
          <w:tcPr>
            <w:tcW w:w="857" w:type="pct"/>
            <w:shd w:val="clear" w:color="DCE6F1" w:fill="DCE6F1"/>
            <w:noWrap/>
            <w:vAlign w:val="bottom"/>
          </w:tcPr>
          <w:p w:rsidR="00473DD8" w:rsidRPr="00D37D08" w:rsidRDefault="00AC7EBD" w:rsidP="00473DD8">
            <w:pPr>
              <w:autoSpaceDE/>
              <w:autoSpaceDN/>
              <w:adjustRightInd/>
              <w:spacing w:after="0"/>
              <w:jc w:val="right"/>
              <w:rPr>
                <w:rFonts w:ascii="Calibri" w:eastAsia="Times New Roman" w:hAnsi="Calibri" w:cs="Times New Roman"/>
                <w:b/>
                <w:bCs/>
                <w:sz w:val="20"/>
                <w:szCs w:val="22"/>
                <w:lang w:eastAsia="en-GB"/>
              </w:rPr>
            </w:pPr>
          </w:p>
        </w:tc>
      </w:tr>
      <w:tr w:rsidR="00040D04" w:rsidTr="00D37D08">
        <w:trPr>
          <w:trHeight w:val="20"/>
        </w:trPr>
        <w:tc>
          <w:tcPr>
            <w:tcW w:w="1570" w:type="pct"/>
            <w:shd w:val="clear" w:color="auto" w:fill="auto"/>
            <w:noWrap/>
            <w:vAlign w:val="bottom"/>
            <w:hideMark/>
          </w:tcPr>
          <w:p w:rsidR="00473DD8" w:rsidRPr="00D37D08" w:rsidRDefault="002E29C1" w:rsidP="00473DD8">
            <w:pPr>
              <w:autoSpaceDE/>
              <w:autoSpaceDN/>
              <w:adjustRightInd/>
              <w:spacing w:after="0"/>
              <w:ind w:firstLineChars="100" w:firstLine="200"/>
              <w:jc w:val="lef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JUNE</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20</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187</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6</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213</w:t>
            </w:r>
          </w:p>
        </w:tc>
      </w:tr>
      <w:tr w:rsidR="00040D04" w:rsidTr="00D37D08">
        <w:trPr>
          <w:trHeight w:val="20"/>
        </w:trPr>
        <w:tc>
          <w:tcPr>
            <w:tcW w:w="1570" w:type="pct"/>
            <w:shd w:val="clear" w:color="auto" w:fill="auto"/>
            <w:noWrap/>
            <w:vAlign w:val="bottom"/>
            <w:hideMark/>
          </w:tcPr>
          <w:p w:rsidR="00473DD8" w:rsidRPr="00D37D08" w:rsidRDefault="002E29C1" w:rsidP="00473DD8">
            <w:pPr>
              <w:autoSpaceDE/>
              <w:autoSpaceDN/>
              <w:adjustRightInd/>
              <w:spacing w:after="0"/>
              <w:ind w:firstLineChars="100" w:firstLine="200"/>
              <w:jc w:val="lef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JULY</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43</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260</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19</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322</w:t>
            </w:r>
          </w:p>
        </w:tc>
      </w:tr>
      <w:tr w:rsidR="00040D04" w:rsidTr="00D37D08">
        <w:trPr>
          <w:trHeight w:val="20"/>
        </w:trPr>
        <w:tc>
          <w:tcPr>
            <w:tcW w:w="1570" w:type="pct"/>
            <w:shd w:val="clear" w:color="auto" w:fill="auto"/>
            <w:noWrap/>
            <w:vAlign w:val="bottom"/>
            <w:hideMark/>
          </w:tcPr>
          <w:p w:rsidR="00473DD8" w:rsidRPr="00D37D08" w:rsidRDefault="002E29C1" w:rsidP="00473DD8">
            <w:pPr>
              <w:autoSpaceDE/>
              <w:autoSpaceDN/>
              <w:adjustRightInd/>
              <w:spacing w:after="0"/>
              <w:ind w:firstLineChars="100" w:firstLine="200"/>
              <w:jc w:val="lef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AUGUST</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58</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267</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12</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337</w:t>
            </w:r>
          </w:p>
        </w:tc>
      </w:tr>
      <w:tr w:rsidR="00040D04" w:rsidTr="00D37D08">
        <w:trPr>
          <w:trHeight w:val="20"/>
        </w:trPr>
        <w:tc>
          <w:tcPr>
            <w:tcW w:w="1570" w:type="pct"/>
            <w:shd w:val="clear" w:color="DCE6F1" w:fill="DCE6F1"/>
            <w:noWrap/>
            <w:vAlign w:val="bottom"/>
            <w:hideMark/>
          </w:tcPr>
          <w:p w:rsidR="00473DD8" w:rsidRPr="00D37D08" w:rsidRDefault="002E29C1" w:rsidP="00473DD8">
            <w:pPr>
              <w:autoSpaceDE/>
              <w:autoSpaceDN/>
              <w:adjustRightInd/>
              <w:spacing w:after="0"/>
              <w:jc w:val="left"/>
              <w:rPr>
                <w:rFonts w:ascii="Calibri" w:eastAsia="Times New Roman" w:hAnsi="Calibri" w:cs="Times New Roman"/>
                <w:b/>
                <w:bCs/>
                <w:sz w:val="20"/>
                <w:szCs w:val="22"/>
                <w:lang w:eastAsia="en-GB"/>
              </w:rPr>
            </w:pPr>
            <w:r w:rsidRPr="00D37D08">
              <w:rPr>
                <w:rFonts w:ascii="Calibri" w:eastAsia="Times New Roman" w:hAnsi="Calibri" w:cs="Times New Roman"/>
                <w:b/>
                <w:bCs/>
                <w:sz w:val="20"/>
                <w:szCs w:val="22"/>
                <w:lang w:eastAsia="en-GB"/>
              </w:rPr>
              <w:t>F_COMMUNITY_EQUIP_ADAPT</w:t>
            </w:r>
          </w:p>
        </w:tc>
        <w:tc>
          <w:tcPr>
            <w:tcW w:w="857" w:type="pct"/>
            <w:shd w:val="clear" w:color="DCE6F1" w:fill="DCE6F1"/>
            <w:noWrap/>
            <w:vAlign w:val="bottom"/>
          </w:tcPr>
          <w:p w:rsidR="00473DD8" w:rsidRPr="00D37D08" w:rsidRDefault="00AC7EBD" w:rsidP="00473DD8">
            <w:pPr>
              <w:autoSpaceDE/>
              <w:autoSpaceDN/>
              <w:adjustRightInd/>
              <w:spacing w:after="0"/>
              <w:jc w:val="right"/>
              <w:rPr>
                <w:rFonts w:ascii="Calibri" w:eastAsia="Times New Roman" w:hAnsi="Calibri" w:cs="Times New Roman"/>
                <w:b/>
                <w:bCs/>
                <w:sz w:val="20"/>
                <w:szCs w:val="22"/>
                <w:lang w:eastAsia="en-GB"/>
              </w:rPr>
            </w:pPr>
          </w:p>
        </w:tc>
        <w:tc>
          <w:tcPr>
            <w:tcW w:w="857" w:type="pct"/>
            <w:shd w:val="clear" w:color="DCE6F1" w:fill="DCE6F1"/>
            <w:noWrap/>
            <w:vAlign w:val="bottom"/>
          </w:tcPr>
          <w:p w:rsidR="00473DD8" w:rsidRPr="00D37D08" w:rsidRDefault="00AC7EBD" w:rsidP="00473DD8">
            <w:pPr>
              <w:autoSpaceDE/>
              <w:autoSpaceDN/>
              <w:adjustRightInd/>
              <w:spacing w:after="0"/>
              <w:jc w:val="right"/>
              <w:rPr>
                <w:rFonts w:ascii="Calibri" w:eastAsia="Times New Roman" w:hAnsi="Calibri" w:cs="Times New Roman"/>
                <w:b/>
                <w:bCs/>
                <w:sz w:val="20"/>
                <w:szCs w:val="22"/>
                <w:lang w:eastAsia="en-GB"/>
              </w:rPr>
            </w:pPr>
          </w:p>
        </w:tc>
        <w:tc>
          <w:tcPr>
            <w:tcW w:w="857" w:type="pct"/>
            <w:shd w:val="clear" w:color="DCE6F1" w:fill="DCE6F1"/>
            <w:noWrap/>
            <w:vAlign w:val="bottom"/>
          </w:tcPr>
          <w:p w:rsidR="00473DD8" w:rsidRPr="00D37D08" w:rsidRDefault="00AC7EBD" w:rsidP="00473DD8">
            <w:pPr>
              <w:autoSpaceDE/>
              <w:autoSpaceDN/>
              <w:adjustRightInd/>
              <w:spacing w:after="0"/>
              <w:jc w:val="right"/>
              <w:rPr>
                <w:rFonts w:ascii="Calibri" w:eastAsia="Times New Roman" w:hAnsi="Calibri" w:cs="Times New Roman"/>
                <w:b/>
                <w:bCs/>
                <w:sz w:val="20"/>
                <w:szCs w:val="22"/>
                <w:lang w:eastAsia="en-GB"/>
              </w:rPr>
            </w:pPr>
          </w:p>
        </w:tc>
        <w:tc>
          <w:tcPr>
            <w:tcW w:w="857" w:type="pct"/>
            <w:shd w:val="clear" w:color="DCE6F1" w:fill="DCE6F1"/>
            <w:noWrap/>
            <w:vAlign w:val="bottom"/>
          </w:tcPr>
          <w:p w:rsidR="00473DD8" w:rsidRPr="00D37D08" w:rsidRDefault="00AC7EBD" w:rsidP="00473DD8">
            <w:pPr>
              <w:autoSpaceDE/>
              <w:autoSpaceDN/>
              <w:adjustRightInd/>
              <w:spacing w:after="0"/>
              <w:jc w:val="right"/>
              <w:rPr>
                <w:rFonts w:ascii="Calibri" w:eastAsia="Times New Roman" w:hAnsi="Calibri" w:cs="Times New Roman"/>
                <w:b/>
                <w:bCs/>
                <w:sz w:val="20"/>
                <w:szCs w:val="22"/>
                <w:lang w:eastAsia="en-GB"/>
              </w:rPr>
            </w:pPr>
          </w:p>
        </w:tc>
      </w:tr>
      <w:tr w:rsidR="00040D04" w:rsidTr="00D37D08">
        <w:trPr>
          <w:trHeight w:val="20"/>
        </w:trPr>
        <w:tc>
          <w:tcPr>
            <w:tcW w:w="1570" w:type="pct"/>
            <w:shd w:val="clear" w:color="auto" w:fill="auto"/>
            <w:noWrap/>
            <w:vAlign w:val="bottom"/>
            <w:hideMark/>
          </w:tcPr>
          <w:p w:rsidR="00473DD8" w:rsidRPr="00D37D08" w:rsidRDefault="002E29C1" w:rsidP="00473DD8">
            <w:pPr>
              <w:autoSpaceDE/>
              <w:autoSpaceDN/>
              <w:adjustRightInd/>
              <w:spacing w:after="0"/>
              <w:ind w:firstLineChars="100" w:firstLine="200"/>
              <w:jc w:val="lef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JUNE</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82</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18</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0</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100</w:t>
            </w:r>
          </w:p>
        </w:tc>
      </w:tr>
      <w:tr w:rsidR="00040D04" w:rsidTr="00D37D08">
        <w:trPr>
          <w:trHeight w:val="20"/>
        </w:trPr>
        <w:tc>
          <w:tcPr>
            <w:tcW w:w="1570" w:type="pct"/>
            <w:shd w:val="clear" w:color="auto" w:fill="auto"/>
            <w:noWrap/>
            <w:vAlign w:val="bottom"/>
            <w:hideMark/>
          </w:tcPr>
          <w:p w:rsidR="00473DD8" w:rsidRPr="00D37D08" w:rsidRDefault="002E29C1" w:rsidP="00473DD8">
            <w:pPr>
              <w:autoSpaceDE/>
              <w:autoSpaceDN/>
              <w:adjustRightInd/>
              <w:spacing w:after="0"/>
              <w:ind w:firstLineChars="100" w:firstLine="200"/>
              <w:jc w:val="lef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JULY</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91</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61</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1</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153</w:t>
            </w:r>
          </w:p>
        </w:tc>
      </w:tr>
      <w:tr w:rsidR="00040D04" w:rsidTr="00D37D08">
        <w:trPr>
          <w:trHeight w:val="20"/>
        </w:trPr>
        <w:tc>
          <w:tcPr>
            <w:tcW w:w="1570" w:type="pct"/>
            <w:shd w:val="clear" w:color="auto" w:fill="auto"/>
            <w:noWrap/>
            <w:vAlign w:val="bottom"/>
            <w:hideMark/>
          </w:tcPr>
          <w:p w:rsidR="00473DD8" w:rsidRPr="00D37D08" w:rsidRDefault="002E29C1" w:rsidP="00473DD8">
            <w:pPr>
              <w:autoSpaceDE/>
              <w:autoSpaceDN/>
              <w:adjustRightInd/>
              <w:spacing w:after="0"/>
              <w:ind w:firstLineChars="100" w:firstLine="200"/>
              <w:jc w:val="lef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AUGUST</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35</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49</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0</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84</w:t>
            </w:r>
          </w:p>
        </w:tc>
      </w:tr>
      <w:tr w:rsidR="00040D04" w:rsidTr="00D37D08">
        <w:trPr>
          <w:trHeight w:val="20"/>
        </w:trPr>
        <w:tc>
          <w:tcPr>
            <w:tcW w:w="1570" w:type="pct"/>
            <w:shd w:val="clear" w:color="DCE6F1" w:fill="DCE6F1"/>
            <w:noWrap/>
            <w:vAlign w:val="bottom"/>
            <w:hideMark/>
          </w:tcPr>
          <w:p w:rsidR="00473DD8" w:rsidRPr="00D37D08" w:rsidRDefault="002E29C1" w:rsidP="00473DD8">
            <w:pPr>
              <w:autoSpaceDE/>
              <w:autoSpaceDN/>
              <w:adjustRightInd/>
              <w:spacing w:after="0"/>
              <w:jc w:val="left"/>
              <w:rPr>
                <w:rFonts w:ascii="Calibri" w:eastAsia="Times New Roman" w:hAnsi="Calibri" w:cs="Times New Roman"/>
                <w:b/>
                <w:bCs/>
                <w:sz w:val="20"/>
                <w:szCs w:val="22"/>
                <w:lang w:eastAsia="en-GB"/>
              </w:rPr>
            </w:pPr>
            <w:r w:rsidRPr="00D37D08">
              <w:rPr>
                <w:rFonts w:ascii="Calibri" w:eastAsia="Times New Roman" w:hAnsi="Calibri" w:cs="Times New Roman"/>
                <w:b/>
                <w:bCs/>
                <w:sz w:val="20"/>
                <w:szCs w:val="22"/>
                <w:lang w:eastAsia="en-GB"/>
              </w:rPr>
              <w:t>G_PATIENT_FAMILY_CHOICE</w:t>
            </w:r>
          </w:p>
        </w:tc>
        <w:tc>
          <w:tcPr>
            <w:tcW w:w="857" w:type="pct"/>
            <w:shd w:val="clear" w:color="DCE6F1" w:fill="DCE6F1"/>
            <w:noWrap/>
            <w:vAlign w:val="bottom"/>
          </w:tcPr>
          <w:p w:rsidR="00473DD8" w:rsidRPr="00D37D08" w:rsidRDefault="00AC7EBD" w:rsidP="00473DD8">
            <w:pPr>
              <w:autoSpaceDE/>
              <w:autoSpaceDN/>
              <w:adjustRightInd/>
              <w:spacing w:after="0"/>
              <w:jc w:val="right"/>
              <w:rPr>
                <w:rFonts w:ascii="Calibri" w:eastAsia="Times New Roman" w:hAnsi="Calibri" w:cs="Times New Roman"/>
                <w:b/>
                <w:bCs/>
                <w:sz w:val="20"/>
                <w:szCs w:val="22"/>
                <w:lang w:eastAsia="en-GB"/>
              </w:rPr>
            </w:pPr>
          </w:p>
        </w:tc>
        <w:tc>
          <w:tcPr>
            <w:tcW w:w="857" w:type="pct"/>
            <w:shd w:val="clear" w:color="DCE6F1" w:fill="DCE6F1"/>
            <w:noWrap/>
            <w:vAlign w:val="bottom"/>
          </w:tcPr>
          <w:p w:rsidR="00473DD8" w:rsidRPr="00D37D08" w:rsidRDefault="00AC7EBD" w:rsidP="00473DD8">
            <w:pPr>
              <w:autoSpaceDE/>
              <w:autoSpaceDN/>
              <w:adjustRightInd/>
              <w:spacing w:after="0"/>
              <w:jc w:val="right"/>
              <w:rPr>
                <w:rFonts w:ascii="Calibri" w:eastAsia="Times New Roman" w:hAnsi="Calibri" w:cs="Times New Roman"/>
                <w:b/>
                <w:bCs/>
                <w:sz w:val="20"/>
                <w:szCs w:val="22"/>
                <w:lang w:eastAsia="en-GB"/>
              </w:rPr>
            </w:pPr>
          </w:p>
        </w:tc>
        <w:tc>
          <w:tcPr>
            <w:tcW w:w="857" w:type="pct"/>
            <w:shd w:val="clear" w:color="DCE6F1" w:fill="DCE6F1"/>
            <w:noWrap/>
            <w:vAlign w:val="bottom"/>
          </w:tcPr>
          <w:p w:rsidR="00473DD8" w:rsidRPr="00D37D08" w:rsidRDefault="00AC7EBD" w:rsidP="00473DD8">
            <w:pPr>
              <w:autoSpaceDE/>
              <w:autoSpaceDN/>
              <w:adjustRightInd/>
              <w:spacing w:after="0"/>
              <w:jc w:val="right"/>
              <w:rPr>
                <w:rFonts w:ascii="Calibri" w:eastAsia="Times New Roman" w:hAnsi="Calibri" w:cs="Times New Roman"/>
                <w:b/>
                <w:bCs/>
                <w:sz w:val="20"/>
                <w:szCs w:val="22"/>
                <w:lang w:eastAsia="en-GB"/>
              </w:rPr>
            </w:pPr>
          </w:p>
        </w:tc>
        <w:tc>
          <w:tcPr>
            <w:tcW w:w="857" w:type="pct"/>
            <w:shd w:val="clear" w:color="DCE6F1" w:fill="DCE6F1"/>
            <w:noWrap/>
            <w:vAlign w:val="bottom"/>
          </w:tcPr>
          <w:p w:rsidR="00473DD8" w:rsidRPr="00D37D08" w:rsidRDefault="00AC7EBD" w:rsidP="00473DD8">
            <w:pPr>
              <w:autoSpaceDE/>
              <w:autoSpaceDN/>
              <w:adjustRightInd/>
              <w:spacing w:after="0"/>
              <w:jc w:val="right"/>
              <w:rPr>
                <w:rFonts w:ascii="Calibri" w:eastAsia="Times New Roman" w:hAnsi="Calibri" w:cs="Times New Roman"/>
                <w:b/>
                <w:bCs/>
                <w:sz w:val="20"/>
                <w:szCs w:val="22"/>
                <w:lang w:eastAsia="en-GB"/>
              </w:rPr>
            </w:pPr>
          </w:p>
        </w:tc>
      </w:tr>
      <w:tr w:rsidR="00040D04" w:rsidTr="00D37D08">
        <w:trPr>
          <w:trHeight w:val="20"/>
        </w:trPr>
        <w:tc>
          <w:tcPr>
            <w:tcW w:w="1570" w:type="pct"/>
            <w:shd w:val="clear" w:color="auto" w:fill="auto"/>
            <w:noWrap/>
            <w:vAlign w:val="bottom"/>
            <w:hideMark/>
          </w:tcPr>
          <w:p w:rsidR="00473DD8" w:rsidRPr="00D37D08" w:rsidRDefault="002E29C1" w:rsidP="00473DD8">
            <w:pPr>
              <w:autoSpaceDE/>
              <w:autoSpaceDN/>
              <w:adjustRightInd/>
              <w:spacing w:after="0"/>
              <w:ind w:firstLineChars="100" w:firstLine="200"/>
              <w:jc w:val="lef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JUNE</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389</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10</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0</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399</w:t>
            </w:r>
          </w:p>
        </w:tc>
      </w:tr>
      <w:tr w:rsidR="00040D04" w:rsidTr="00D37D08">
        <w:trPr>
          <w:trHeight w:val="20"/>
        </w:trPr>
        <w:tc>
          <w:tcPr>
            <w:tcW w:w="1570" w:type="pct"/>
            <w:shd w:val="clear" w:color="auto" w:fill="auto"/>
            <w:noWrap/>
            <w:vAlign w:val="bottom"/>
            <w:hideMark/>
          </w:tcPr>
          <w:p w:rsidR="00473DD8" w:rsidRPr="00D37D08" w:rsidRDefault="002E29C1" w:rsidP="00473DD8">
            <w:pPr>
              <w:autoSpaceDE/>
              <w:autoSpaceDN/>
              <w:adjustRightInd/>
              <w:spacing w:after="0"/>
              <w:ind w:firstLineChars="100" w:firstLine="200"/>
              <w:jc w:val="lef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JULY</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335</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9</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0</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344</w:t>
            </w:r>
          </w:p>
        </w:tc>
      </w:tr>
      <w:tr w:rsidR="00040D04" w:rsidTr="00D37D08">
        <w:trPr>
          <w:trHeight w:val="20"/>
        </w:trPr>
        <w:tc>
          <w:tcPr>
            <w:tcW w:w="1570" w:type="pct"/>
            <w:shd w:val="clear" w:color="auto" w:fill="auto"/>
            <w:noWrap/>
            <w:vAlign w:val="bottom"/>
            <w:hideMark/>
          </w:tcPr>
          <w:p w:rsidR="00473DD8" w:rsidRPr="00D37D08" w:rsidRDefault="002E29C1" w:rsidP="00473DD8">
            <w:pPr>
              <w:autoSpaceDE/>
              <w:autoSpaceDN/>
              <w:adjustRightInd/>
              <w:spacing w:after="0"/>
              <w:ind w:firstLineChars="100" w:firstLine="200"/>
              <w:jc w:val="lef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AUGUST</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236</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28</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0</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264</w:t>
            </w:r>
          </w:p>
        </w:tc>
      </w:tr>
      <w:tr w:rsidR="00040D04" w:rsidTr="00D37D08">
        <w:trPr>
          <w:trHeight w:val="20"/>
        </w:trPr>
        <w:tc>
          <w:tcPr>
            <w:tcW w:w="1570" w:type="pct"/>
            <w:shd w:val="clear" w:color="DCE6F1" w:fill="DCE6F1"/>
            <w:noWrap/>
            <w:vAlign w:val="bottom"/>
            <w:hideMark/>
          </w:tcPr>
          <w:p w:rsidR="00473DD8" w:rsidRPr="00D37D08" w:rsidRDefault="002E29C1" w:rsidP="00473DD8">
            <w:pPr>
              <w:autoSpaceDE/>
              <w:autoSpaceDN/>
              <w:adjustRightInd/>
              <w:spacing w:after="0"/>
              <w:jc w:val="left"/>
              <w:rPr>
                <w:rFonts w:ascii="Calibri" w:eastAsia="Times New Roman" w:hAnsi="Calibri" w:cs="Times New Roman"/>
                <w:b/>
                <w:bCs/>
                <w:sz w:val="20"/>
                <w:szCs w:val="22"/>
                <w:lang w:eastAsia="en-GB"/>
              </w:rPr>
            </w:pPr>
            <w:r w:rsidRPr="00D37D08">
              <w:rPr>
                <w:rFonts w:ascii="Calibri" w:eastAsia="Times New Roman" w:hAnsi="Calibri" w:cs="Times New Roman"/>
                <w:b/>
                <w:bCs/>
                <w:sz w:val="20"/>
                <w:szCs w:val="22"/>
                <w:lang w:eastAsia="en-GB"/>
              </w:rPr>
              <w:t>H_DISPUTES</w:t>
            </w:r>
          </w:p>
        </w:tc>
        <w:tc>
          <w:tcPr>
            <w:tcW w:w="857" w:type="pct"/>
            <w:shd w:val="clear" w:color="DCE6F1" w:fill="DCE6F1"/>
            <w:noWrap/>
            <w:vAlign w:val="bottom"/>
          </w:tcPr>
          <w:p w:rsidR="00473DD8" w:rsidRPr="00D37D08" w:rsidRDefault="00AC7EBD" w:rsidP="00473DD8">
            <w:pPr>
              <w:autoSpaceDE/>
              <w:autoSpaceDN/>
              <w:adjustRightInd/>
              <w:spacing w:after="0"/>
              <w:jc w:val="right"/>
              <w:rPr>
                <w:rFonts w:ascii="Calibri" w:eastAsia="Times New Roman" w:hAnsi="Calibri" w:cs="Times New Roman"/>
                <w:b/>
                <w:bCs/>
                <w:sz w:val="20"/>
                <w:szCs w:val="22"/>
                <w:lang w:eastAsia="en-GB"/>
              </w:rPr>
            </w:pPr>
          </w:p>
        </w:tc>
        <w:tc>
          <w:tcPr>
            <w:tcW w:w="857" w:type="pct"/>
            <w:shd w:val="clear" w:color="DCE6F1" w:fill="DCE6F1"/>
            <w:noWrap/>
            <w:vAlign w:val="bottom"/>
          </w:tcPr>
          <w:p w:rsidR="00473DD8" w:rsidRPr="00D37D08" w:rsidRDefault="00AC7EBD" w:rsidP="00473DD8">
            <w:pPr>
              <w:autoSpaceDE/>
              <w:autoSpaceDN/>
              <w:adjustRightInd/>
              <w:spacing w:after="0"/>
              <w:jc w:val="right"/>
              <w:rPr>
                <w:rFonts w:ascii="Calibri" w:eastAsia="Times New Roman" w:hAnsi="Calibri" w:cs="Times New Roman"/>
                <w:b/>
                <w:bCs/>
                <w:sz w:val="20"/>
                <w:szCs w:val="22"/>
                <w:lang w:eastAsia="en-GB"/>
              </w:rPr>
            </w:pPr>
          </w:p>
        </w:tc>
        <w:tc>
          <w:tcPr>
            <w:tcW w:w="857" w:type="pct"/>
            <w:shd w:val="clear" w:color="DCE6F1" w:fill="DCE6F1"/>
            <w:noWrap/>
            <w:vAlign w:val="bottom"/>
          </w:tcPr>
          <w:p w:rsidR="00473DD8" w:rsidRPr="00D37D08" w:rsidRDefault="00AC7EBD" w:rsidP="00473DD8">
            <w:pPr>
              <w:autoSpaceDE/>
              <w:autoSpaceDN/>
              <w:adjustRightInd/>
              <w:spacing w:after="0"/>
              <w:jc w:val="right"/>
              <w:rPr>
                <w:rFonts w:ascii="Calibri" w:eastAsia="Times New Roman" w:hAnsi="Calibri" w:cs="Times New Roman"/>
                <w:b/>
                <w:bCs/>
                <w:sz w:val="20"/>
                <w:szCs w:val="22"/>
                <w:lang w:eastAsia="en-GB"/>
              </w:rPr>
            </w:pPr>
          </w:p>
        </w:tc>
        <w:tc>
          <w:tcPr>
            <w:tcW w:w="857" w:type="pct"/>
            <w:shd w:val="clear" w:color="DCE6F1" w:fill="DCE6F1"/>
            <w:noWrap/>
            <w:vAlign w:val="bottom"/>
          </w:tcPr>
          <w:p w:rsidR="00473DD8" w:rsidRPr="00D37D08" w:rsidRDefault="00AC7EBD" w:rsidP="00473DD8">
            <w:pPr>
              <w:autoSpaceDE/>
              <w:autoSpaceDN/>
              <w:adjustRightInd/>
              <w:spacing w:after="0"/>
              <w:jc w:val="right"/>
              <w:rPr>
                <w:rFonts w:ascii="Calibri" w:eastAsia="Times New Roman" w:hAnsi="Calibri" w:cs="Times New Roman"/>
                <w:b/>
                <w:bCs/>
                <w:sz w:val="20"/>
                <w:szCs w:val="22"/>
                <w:lang w:eastAsia="en-GB"/>
              </w:rPr>
            </w:pPr>
          </w:p>
        </w:tc>
      </w:tr>
      <w:tr w:rsidR="00040D04" w:rsidTr="00D37D08">
        <w:trPr>
          <w:trHeight w:val="20"/>
        </w:trPr>
        <w:tc>
          <w:tcPr>
            <w:tcW w:w="1570" w:type="pct"/>
            <w:shd w:val="clear" w:color="auto" w:fill="auto"/>
            <w:noWrap/>
            <w:vAlign w:val="bottom"/>
            <w:hideMark/>
          </w:tcPr>
          <w:p w:rsidR="00473DD8" w:rsidRPr="00D37D08" w:rsidRDefault="002E29C1" w:rsidP="00473DD8">
            <w:pPr>
              <w:autoSpaceDE/>
              <w:autoSpaceDN/>
              <w:adjustRightInd/>
              <w:spacing w:after="0"/>
              <w:ind w:firstLineChars="100" w:firstLine="200"/>
              <w:jc w:val="lef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JUNE</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60</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4</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0</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64</w:t>
            </w:r>
          </w:p>
        </w:tc>
      </w:tr>
      <w:tr w:rsidR="00040D04" w:rsidTr="00D37D08">
        <w:trPr>
          <w:trHeight w:val="20"/>
        </w:trPr>
        <w:tc>
          <w:tcPr>
            <w:tcW w:w="1570" w:type="pct"/>
            <w:shd w:val="clear" w:color="auto" w:fill="auto"/>
            <w:noWrap/>
            <w:vAlign w:val="bottom"/>
            <w:hideMark/>
          </w:tcPr>
          <w:p w:rsidR="00473DD8" w:rsidRPr="00D37D08" w:rsidRDefault="002E29C1" w:rsidP="00473DD8">
            <w:pPr>
              <w:autoSpaceDE/>
              <w:autoSpaceDN/>
              <w:adjustRightInd/>
              <w:spacing w:after="0"/>
              <w:ind w:firstLineChars="100" w:firstLine="200"/>
              <w:jc w:val="lef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JULY</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73</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0</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0</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73</w:t>
            </w:r>
          </w:p>
        </w:tc>
      </w:tr>
      <w:tr w:rsidR="00040D04" w:rsidTr="00D37D08">
        <w:trPr>
          <w:trHeight w:val="20"/>
        </w:trPr>
        <w:tc>
          <w:tcPr>
            <w:tcW w:w="1570" w:type="pct"/>
            <w:shd w:val="clear" w:color="auto" w:fill="auto"/>
            <w:noWrap/>
            <w:vAlign w:val="bottom"/>
            <w:hideMark/>
          </w:tcPr>
          <w:p w:rsidR="00473DD8" w:rsidRPr="00D37D08" w:rsidRDefault="002E29C1" w:rsidP="00473DD8">
            <w:pPr>
              <w:autoSpaceDE/>
              <w:autoSpaceDN/>
              <w:adjustRightInd/>
              <w:spacing w:after="0"/>
              <w:ind w:firstLineChars="100" w:firstLine="200"/>
              <w:jc w:val="lef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AUGUST</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51</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2</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0</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53</w:t>
            </w:r>
          </w:p>
        </w:tc>
      </w:tr>
      <w:tr w:rsidR="00040D04" w:rsidTr="00D37D08">
        <w:trPr>
          <w:trHeight w:val="20"/>
        </w:trPr>
        <w:tc>
          <w:tcPr>
            <w:tcW w:w="1570" w:type="pct"/>
            <w:shd w:val="clear" w:color="DCE6F1" w:fill="DCE6F1"/>
            <w:noWrap/>
            <w:vAlign w:val="bottom"/>
            <w:hideMark/>
          </w:tcPr>
          <w:p w:rsidR="00473DD8" w:rsidRPr="00D37D08" w:rsidRDefault="002E29C1" w:rsidP="00473DD8">
            <w:pPr>
              <w:autoSpaceDE/>
              <w:autoSpaceDN/>
              <w:adjustRightInd/>
              <w:spacing w:after="0"/>
              <w:jc w:val="left"/>
              <w:rPr>
                <w:rFonts w:ascii="Calibri" w:eastAsia="Times New Roman" w:hAnsi="Calibri" w:cs="Times New Roman"/>
                <w:b/>
                <w:bCs/>
                <w:sz w:val="20"/>
                <w:szCs w:val="22"/>
                <w:lang w:eastAsia="en-GB"/>
              </w:rPr>
            </w:pPr>
            <w:r w:rsidRPr="00D37D08">
              <w:rPr>
                <w:rFonts w:ascii="Calibri" w:eastAsia="Times New Roman" w:hAnsi="Calibri" w:cs="Times New Roman"/>
                <w:b/>
                <w:bCs/>
                <w:sz w:val="20"/>
                <w:szCs w:val="22"/>
                <w:lang w:eastAsia="en-GB"/>
              </w:rPr>
              <w:t>I_HOUSING</w:t>
            </w:r>
          </w:p>
        </w:tc>
        <w:tc>
          <w:tcPr>
            <w:tcW w:w="857" w:type="pct"/>
            <w:shd w:val="clear" w:color="DCE6F1" w:fill="DCE6F1"/>
            <w:noWrap/>
            <w:vAlign w:val="bottom"/>
          </w:tcPr>
          <w:p w:rsidR="00473DD8" w:rsidRPr="00D37D08" w:rsidRDefault="00AC7EBD" w:rsidP="00473DD8">
            <w:pPr>
              <w:autoSpaceDE/>
              <w:autoSpaceDN/>
              <w:adjustRightInd/>
              <w:spacing w:after="0"/>
              <w:jc w:val="right"/>
              <w:rPr>
                <w:rFonts w:ascii="Calibri" w:eastAsia="Times New Roman" w:hAnsi="Calibri" w:cs="Times New Roman"/>
                <w:b/>
                <w:bCs/>
                <w:sz w:val="20"/>
                <w:szCs w:val="22"/>
                <w:lang w:eastAsia="en-GB"/>
              </w:rPr>
            </w:pPr>
          </w:p>
        </w:tc>
        <w:tc>
          <w:tcPr>
            <w:tcW w:w="857" w:type="pct"/>
            <w:shd w:val="clear" w:color="DCE6F1" w:fill="DCE6F1"/>
            <w:noWrap/>
            <w:vAlign w:val="bottom"/>
          </w:tcPr>
          <w:p w:rsidR="00473DD8" w:rsidRPr="00D37D08" w:rsidRDefault="00AC7EBD" w:rsidP="00473DD8">
            <w:pPr>
              <w:autoSpaceDE/>
              <w:autoSpaceDN/>
              <w:adjustRightInd/>
              <w:spacing w:after="0"/>
              <w:jc w:val="right"/>
              <w:rPr>
                <w:rFonts w:ascii="Calibri" w:eastAsia="Times New Roman" w:hAnsi="Calibri" w:cs="Times New Roman"/>
                <w:b/>
                <w:bCs/>
                <w:sz w:val="20"/>
                <w:szCs w:val="22"/>
                <w:lang w:eastAsia="en-GB"/>
              </w:rPr>
            </w:pPr>
          </w:p>
        </w:tc>
        <w:tc>
          <w:tcPr>
            <w:tcW w:w="857" w:type="pct"/>
            <w:shd w:val="clear" w:color="DCE6F1" w:fill="DCE6F1"/>
            <w:noWrap/>
            <w:vAlign w:val="bottom"/>
          </w:tcPr>
          <w:p w:rsidR="00473DD8" w:rsidRPr="00D37D08" w:rsidRDefault="00AC7EBD" w:rsidP="00473DD8">
            <w:pPr>
              <w:autoSpaceDE/>
              <w:autoSpaceDN/>
              <w:adjustRightInd/>
              <w:spacing w:after="0"/>
              <w:jc w:val="right"/>
              <w:rPr>
                <w:rFonts w:ascii="Calibri" w:eastAsia="Times New Roman" w:hAnsi="Calibri" w:cs="Times New Roman"/>
                <w:b/>
                <w:bCs/>
                <w:sz w:val="20"/>
                <w:szCs w:val="22"/>
                <w:lang w:eastAsia="en-GB"/>
              </w:rPr>
            </w:pPr>
          </w:p>
        </w:tc>
        <w:tc>
          <w:tcPr>
            <w:tcW w:w="857" w:type="pct"/>
            <w:shd w:val="clear" w:color="DCE6F1" w:fill="DCE6F1"/>
            <w:noWrap/>
            <w:vAlign w:val="bottom"/>
          </w:tcPr>
          <w:p w:rsidR="00473DD8" w:rsidRPr="00D37D08" w:rsidRDefault="00AC7EBD" w:rsidP="00473DD8">
            <w:pPr>
              <w:autoSpaceDE/>
              <w:autoSpaceDN/>
              <w:adjustRightInd/>
              <w:spacing w:after="0"/>
              <w:jc w:val="right"/>
              <w:rPr>
                <w:rFonts w:ascii="Calibri" w:eastAsia="Times New Roman" w:hAnsi="Calibri" w:cs="Times New Roman"/>
                <w:b/>
                <w:bCs/>
                <w:sz w:val="20"/>
                <w:szCs w:val="22"/>
                <w:lang w:eastAsia="en-GB"/>
              </w:rPr>
            </w:pPr>
          </w:p>
        </w:tc>
      </w:tr>
      <w:tr w:rsidR="00040D04" w:rsidTr="00D37D08">
        <w:trPr>
          <w:trHeight w:val="20"/>
        </w:trPr>
        <w:tc>
          <w:tcPr>
            <w:tcW w:w="1570" w:type="pct"/>
            <w:shd w:val="clear" w:color="auto" w:fill="auto"/>
            <w:noWrap/>
            <w:vAlign w:val="bottom"/>
            <w:hideMark/>
          </w:tcPr>
          <w:p w:rsidR="00473DD8" w:rsidRPr="00D37D08" w:rsidRDefault="002E29C1" w:rsidP="00473DD8">
            <w:pPr>
              <w:autoSpaceDE/>
              <w:autoSpaceDN/>
              <w:adjustRightInd/>
              <w:spacing w:after="0"/>
              <w:ind w:firstLineChars="100" w:firstLine="200"/>
              <w:jc w:val="lef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JUNE</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11</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0</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0</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11</w:t>
            </w:r>
          </w:p>
        </w:tc>
      </w:tr>
      <w:tr w:rsidR="00040D04" w:rsidTr="00D37D08">
        <w:trPr>
          <w:trHeight w:val="20"/>
        </w:trPr>
        <w:tc>
          <w:tcPr>
            <w:tcW w:w="1570" w:type="pct"/>
            <w:shd w:val="clear" w:color="auto" w:fill="auto"/>
            <w:noWrap/>
            <w:vAlign w:val="bottom"/>
            <w:hideMark/>
          </w:tcPr>
          <w:p w:rsidR="00473DD8" w:rsidRPr="00D37D08" w:rsidRDefault="002E29C1" w:rsidP="00473DD8">
            <w:pPr>
              <w:autoSpaceDE/>
              <w:autoSpaceDN/>
              <w:adjustRightInd/>
              <w:spacing w:after="0"/>
              <w:ind w:firstLineChars="100" w:firstLine="200"/>
              <w:jc w:val="lef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JULY</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24</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0</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0</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24</w:t>
            </w:r>
          </w:p>
        </w:tc>
      </w:tr>
      <w:tr w:rsidR="00040D04" w:rsidTr="00D37D08">
        <w:trPr>
          <w:trHeight w:val="20"/>
        </w:trPr>
        <w:tc>
          <w:tcPr>
            <w:tcW w:w="1570" w:type="pct"/>
            <w:shd w:val="clear" w:color="auto" w:fill="auto"/>
            <w:noWrap/>
            <w:vAlign w:val="bottom"/>
            <w:hideMark/>
          </w:tcPr>
          <w:p w:rsidR="00473DD8" w:rsidRPr="00D37D08" w:rsidRDefault="002E29C1" w:rsidP="00473DD8">
            <w:pPr>
              <w:autoSpaceDE/>
              <w:autoSpaceDN/>
              <w:adjustRightInd/>
              <w:spacing w:after="0"/>
              <w:ind w:firstLineChars="100" w:firstLine="200"/>
              <w:jc w:val="lef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AUGUST</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31</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0</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0</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31</w:t>
            </w:r>
          </w:p>
        </w:tc>
      </w:tr>
      <w:tr w:rsidR="00040D04" w:rsidTr="00D37D08">
        <w:trPr>
          <w:trHeight w:val="20"/>
        </w:trPr>
        <w:tc>
          <w:tcPr>
            <w:tcW w:w="1570" w:type="pct"/>
            <w:shd w:val="clear" w:color="DCE6F1" w:fill="DCE6F1"/>
            <w:noWrap/>
            <w:vAlign w:val="bottom"/>
            <w:hideMark/>
          </w:tcPr>
          <w:p w:rsidR="00473DD8" w:rsidRPr="00D37D08" w:rsidRDefault="002E29C1" w:rsidP="00473DD8">
            <w:pPr>
              <w:autoSpaceDE/>
              <w:autoSpaceDN/>
              <w:adjustRightInd/>
              <w:spacing w:after="0"/>
              <w:jc w:val="left"/>
              <w:rPr>
                <w:rFonts w:ascii="Calibri" w:eastAsia="Times New Roman" w:hAnsi="Calibri" w:cs="Times New Roman"/>
                <w:b/>
                <w:bCs/>
                <w:sz w:val="20"/>
                <w:szCs w:val="22"/>
                <w:lang w:eastAsia="en-GB"/>
              </w:rPr>
            </w:pPr>
            <w:r w:rsidRPr="00D37D08">
              <w:rPr>
                <w:rFonts w:ascii="Calibri" w:eastAsia="Times New Roman" w:hAnsi="Calibri" w:cs="Times New Roman"/>
                <w:b/>
                <w:bCs/>
                <w:sz w:val="20"/>
                <w:szCs w:val="22"/>
                <w:lang w:eastAsia="en-GB"/>
              </w:rPr>
              <w:t>O_OTHER</w:t>
            </w:r>
          </w:p>
        </w:tc>
        <w:tc>
          <w:tcPr>
            <w:tcW w:w="857" w:type="pct"/>
            <w:shd w:val="clear" w:color="DCE6F1" w:fill="DCE6F1"/>
            <w:noWrap/>
            <w:vAlign w:val="bottom"/>
          </w:tcPr>
          <w:p w:rsidR="00473DD8" w:rsidRPr="00D37D08" w:rsidRDefault="00AC7EBD" w:rsidP="00473DD8">
            <w:pPr>
              <w:autoSpaceDE/>
              <w:autoSpaceDN/>
              <w:adjustRightInd/>
              <w:spacing w:after="0"/>
              <w:jc w:val="right"/>
              <w:rPr>
                <w:rFonts w:ascii="Calibri" w:eastAsia="Times New Roman" w:hAnsi="Calibri" w:cs="Times New Roman"/>
                <w:b/>
                <w:bCs/>
                <w:sz w:val="20"/>
                <w:szCs w:val="22"/>
                <w:lang w:eastAsia="en-GB"/>
              </w:rPr>
            </w:pPr>
          </w:p>
        </w:tc>
        <w:tc>
          <w:tcPr>
            <w:tcW w:w="857" w:type="pct"/>
            <w:shd w:val="clear" w:color="DCE6F1" w:fill="DCE6F1"/>
            <w:noWrap/>
            <w:vAlign w:val="bottom"/>
          </w:tcPr>
          <w:p w:rsidR="00473DD8" w:rsidRPr="00D37D08" w:rsidRDefault="00AC7EBD" w:rsidP="00473DD8">
            <w:pPr>
              <w:autoSpaceDE/>
              <w:autoSpaceDN/>
              <w:adjustRightInd/>
              <w:spacing w:after="0"/>
              <w:jc w:val="right"/>
              <w:rPr>
                <w:rFonts w:ascii="Calibri" w:eastAsia="Times New Roman" w:hAnsi="Calibri" w:cs="Times New Roman"/>
                <w:b/>
                <w:bCs/>
                <w:sz w:val="20"/>
                <w:szCs w:val="22"/>
                <w:lang w:eastAsia="en-GB"/>
              </w:rPr>
            </w:pPr>
          </w:p>
        </w:tc>
        <w:tc>
          <w:tcPr>
            <w:tcW w:w="857" w:type="pct"/>
            <w:shd w:val="clear" w:color="DCE6F1" w:fill="DCE6F1"/>
            <w:noWrap/>
            <w:vAlign w:val="bottom"/>
          </w:tcPr>
          <w:p w:rsidR="00473DD8" w:rsidRPr="00D37D08" w:rsidRDefault="00AC7EBD" w:rsidP="00473DD8">
            <w:pPr>
              <w:autoSpaceDE/>
              <w:autoSpaceDN/>
              <w:adjustRightInd/>
              <w:spacing w:after="0"/>
              <w:jc w:val="right"/>
              <w:rPr>
                <w:rFonts w:ascii="Calibri" w:eastAsia="Times New Roman" w:hAnsi="Calibri" w:cs="Times New Roman"/>
                <w:b/>
                <w:bCs/>
                <w:sz w:val="20"/>
                <w:szCs w:val="22"/>
                <w:lang w:eastAsia="en-GB"/>
              </w:rPr>
            </w:pPr>
          </w:p>
        </w:tc>
        <w:tc>
          <w:tcPr>
            <w:tcW w:w="857" w:type="pct"/>
            <w:shd w:val="clear" w:color="DCE6F1" w:fill="DCE6F1"/>
            <w:noWrap/>
            <w:vAlign w:val="bottom"/>
          </w:tcPr>
          <w:p w:rsidR="00473DD8" w:rsidRPr="00D37D08" w:rsidRDefault="00AC7EBD" w:rsidP="00473DD8">
            <w:pPr>
              <w:autoSpaceDE/>
              <w:autoSpaceDN/>
              <w:adjustRightInd/>
              <w:spacing w:after="0"/>
              <w:jc w:val="right"/>
              <w:rPr>
                <w:rFonts w:ascii="Calibri" w:eastAsia="Times New Roman" w:hAnsi="Calibri" w:cs="Times New Roman"/>
                <w:b/>
                <w:bCs/>
                <w:sz w:val="20"/>
                <w:szCs w:val="22"/>
                <w:lang w:eastAsia="en-GB"/>
              </w:rPr>
            </w:pPr>
          </w:p>
        </w:tc>
      </w:tr>
      <w:tr w:rsidR="00040D04" w:rsidTr="00D37D08">
        <w:trPr>
          <w:trHeight w:val="20"/>
        </w:trPr>
        <w:tc>
          <w:tcPr>
            <w:tcW w:w="1570" w:type="pct"/>
            <w:shd w:val="clear" w:color="auto" w:fill="auto"/>
            <w:noWrap/>
            <w:vAlign w:val="bottom"/>
            <w:hideMark/>
          </w:tcPr>
          <w:p w:rsidR="00473DD8" w:rsidRPr="00D37D08" w:rsidRDefault="002E29C1" w:rsidP="00473DD8">
            <w:pPr>
              <w:autoSpaceDE/>
              <w:autoSpaceDN/>
              <w:adjustRightInd/>
              <w:spacing w:after="0"/>
              <w:ind w:firstLineChars="100" w:firstLine="200"/>
              <w:jc w:val="lef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JUNE</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0</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0</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0</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0</w:t>
            </w:r>
          </w:p>
        </w:tc>
      </w:tr>
      <w:tr w:rsidR="00040D04" w:rsidTr="00D37D08">
        <w:trPr>
          <w:trHeight w:val="20"/>
        </w:trPr>
        <w:tc>
          <w:tcPr>
            <w:tcW w:w="1570" w:type="pct"/>
            <w:shd w:val="clear" w:color="auto" w:fill="auto"/>
            <w:noWrap/>
            <w:vAlign w:val="bottom"/>
            <w:hideMark/>
          </w:tcPr>
          <w:p w:rsidR="00473DD8" w:rsidRPr="00D37D08" w:rsidRDefault="002E29C1" w:rsidP="00473DD8">
            <w:pPr>
              <w:autoSpaceDE/>
              <w:autoSpaceDN/>
              <w:adjustRightInd/>
              <w:spacing w:after="0"/>
              <w:ind w:firstLineChars="100" w:firstLine="200"/>
              <w:jc w:val="lef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JULY</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0</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0</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0</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0</w:t>
            </w:r>
          </w:p>
        </w:tc>
      </w:tr>
      <w:tr w:rsidR="00040D04" w:rsidTr="00D37D08">
        <w:trPr>
          <w:trHeight w:val="20"/>
        </w:trPr>
        <w:tc>
          <w:tcPr>
            <w:tcW w:w="1570" w:type="pct"/>
            <w:shd w:val="clear" w:color="auto" w:fill="auto"/>
            <w:noWrap/>
            <w:vAlign w:val="bottom"/>
            <w:hideMark/>
          </w:tcPr>
          <w:p w:rsidR="00473DD8" w:rsidRPr="00D37D08" w:rsidRDefault="002E29C1" w:rsidP="00473DD8">
            <w:pPr>
              <w:autoSpaceDE/>
              <w:autoSpaceDN/>
              <w:adjustRightInd/>
              <w:spacing w:after="0"/>
              <w:ind w:firstLineChars="100" w:firstLine="200"/>
              <w:jc w:val="lef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AUGUST</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0</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0</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0</w:t>
            </w:r>
          </w:p>
        </w:tc>
        <w:tc>
          <w:tcPr>
            <w:tcW w:w="857" w:type="pct"/>
            <w:shd w:val="clear" w:color="auto" w:fill="auto"/>
            <w:noWrap/>
            <w:vAlign w:val="bottom"/>
            <w:hideMark/>
          </w:tcPr>
          <w:p w:rsidR="00473DD8" w:rsidRPr="00D37D08" w:rsidRDefault="002E29C1" w:rsidP="00473DD8">
            <w:pPr>
              <w:autoSpaceDE/>
              <w:autoSpaceDN/>
              <w:adjustRightInd/>
              <w:spacing w:after="0"/>
              <w:jc w:val="right"/>
              <w:rPr>
                <w:rFonts w:ascii="Calibri" w:eastAsia="Times New Roman" w:hAnsi="Calibri" w:cs="Times New Roman"/>
                <w:sz w:val="20"/>
                <w:szCs w:val="22"/>
                <w:lang w:eastAsia="en-GB"/>
              </w:rPr>
            </w:pPr>
            <w:r w:rsidRPr="00D37D08">
              <w:rPr>
                <w:rFonts w:ascii="Calibri" w:eastAsia="Times New Roman" w:hAnsi="Calibri" w:cs="Times New Roman"/>
                <w:sz w:val="20"/>
                <w:szCs w:val="22"/>
                <w:lang w:eastAsia="en-GB"/>
              </w:rPr>
              <w:t>0</w:t>
            </w:r>
          </w:p>
        </w:tc>
      </w:tr>
    </w:tbl>
    <w:p w:rsidR="00D20769" w:rsidRPr="00953D63" w:rsidRDefault="002E29C1" w:rsidP="0069758B">
      <w:pPr>
        <w:spacing w:line="259" w:lineRule="auto"/>
        <w:rPr>
          <w:rFonts w:cs="Arial"/>
        </w:rPr>
      </w:pPr>
      <w:r w:rsidRPr="00D37D08">
        <w:rPr>
          <w:rFonts w:cs="Arial"/>
        </w:rPr>
        <w:lastRenderedPageBreak/>
        <w:t xml:space="preserve">The </w:t>
      </w:r>
      <w:r>
        <w:rPr>
          <w:rFonts w:cs="Arial"/>
        </w:rPr>
        <w:t>Aug</w:t>
      </w:r>
      <w:r w:rsidRPr="00D37D08">
        <w:rPr>
          <w:rFonts w:cs="Arial"/>
        </w:rPr>
        <w:t xml:space="preserve">-18 </w:t>
      </w:r>
      <w:r w:rsidRPr="00953D63">
        <w:rPr>
          <w:rFonts w:cs="Arial"/>
        </w:rPr>
        <w:t>overall increase for assessment completion delays comprises an increase for NHS, social care and jointly attributable days. Recent trends for the other major social care reasons from Jun-18 to Aug-18 show increases in arranging nursing care and in arranging a home care package.</w:t>
      </w:r>
    </w:p>
    <w:p w:rsidR="00953D63" w:rsidRPr="00953D63" w:rsidRDefault="002E29C1" w:rsidP="0069758B">
      <w:pPr>
        <w:spacing w:line="259" w:lineRule="auto"/>
        <w:rPr>
          <w:rFonts w:cs="Arial"/>
        </w:rPr>
      </w:pPr>
      <w:r w:rsidRPr="00953D63">
        <w:rPr>
          <w:noProof/>
          <w:lang w:eastAsia="en-GB"/>
        </w:rPr>
        <w:drawing>
          <wp:inline distT="0" distB="0" distL="0" distR="0">
            <wp:extent cx="5727700" cy="3125972"/>
            <wp:effectExtent l="0" t="0" r="6350" b="1778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D42D8" w:rsidRPr="00DF1984" w:rsidRDefault="002E29C1" w:rsidP="0069758B">
      <w:pPr>
        <w:spacing w:line="259" w:lineRule="auto"/>
        <w:rPr>
          <w:rFonts w:cs="Arial"/>
        </w:rPr>
      </w:pPr>
      <w:r w:rsidRPr="00953D63">
        <w:rPr>
          <w:rFonts w:cs="Arial"/>
        </w:rPr>
        <w:t xml:space="preserve">Social care </w:t>
      </w:r>
      <w:r w:rsidRPr="00DF1984">
        <w:rPr>
          <w:rFonts w:cs="Arial"/>
        </w:rPr>
        <w:t>delays incurred whilst waiting for assessment completion once again exceed the social care delays incurred through arranging residential care and also those incurred through arranging nursing care or a home care package:</w:t>
      </w:r>
    </w:p>
    <w:p w:rsidR="00DF1984" w:rsidRPr="00DF1984" w:rsidRDefault="002E29C1" w:rsidP="0069758B">
      <w:pPr>
        <w:spacing w:line="259" w:lineRule="auto"/>
        <w:rPr>
          <w:rFonts w:cs="Arial"/>
        </w:rPr>
      </w:pPr>
      <w:r w:rsidRPr="00DF1984">
        <w:rPr>
          <w:noProof/>
          <w:lang w:eastAsia="en-GB"/>
        </w:rPr>
        <w:drawing>
          <wp:inline distT="0" distB="0" distL="0" distR="0">
            <wp:extent cx="5727700" cy="4082903"/>
            <wp:effectExtent l="0" t="0" r="6350" b="1333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33B0E" w:rsidRDefault="002E29C1">
      <w:pPr>
        <w:autoSpaceDE/>
        <w:autoSpaceDN/>
        <w:adjustRightInd/>
        <w:spacing w:after="0"/>
        <w:jc w:val="left"/>
        <w:rPr>
          <w:rFonts w:cs="Arial"/>
        </w:rPr>
      </w:pPr>
      <w:r w:rsidRPr="00DF1984">
        <w:rPr>
          <w:rFonts w:cs="Arial"/>
        </w:rPr>
        <w:lastRenderedPageBreak/>
        <w:t>The full list of reasons for delay, by provider, for the 1</w:t>
      </w:r>
      <w:r>
        <w:rPr>
          <w:rFonts w:cs="Arial"/>
        </w:rPr>
        <w:t>232</w:t>
      </w:r>
      <w:r w:rsidRPr="00DF1984">
        <w:rPr>
          <w:rFonts w:cs="Arial"/>
        </w:rPr>
        <w:t xml:space="preserve"> social care days incurred in </w:t>
      </w:r>
      <w:r>
        <w:rPr>
          <w:rFonts w:cs="Arial"/>
        </w:rPr>
        <w:t>Aug</w:t>
      </w:r>
      <w:r w:rsidRPr="00DF1984">
        <w:rPr>
          <w:rFonts w:cs="Arial"/>
        </w:rPr>
        <w:t>-18 is shown in the table below:</w:t>
      </w:r>
    </w:p>
    <w:p w:rsidR="00DF1984" w:rsidRDefault="00AC7EBD">
      <w:pPr>
        <w:autoSpaceDE/>
        <w:autoSpaceDN/>
        <w:adjustRightInd/>
        <w:spacing w:after="0"/>
        <w:jc w:val="left"/>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8"/>
        <w:gridCol w:w="567"/>
        <w:gridCol w:w="567"/>
        <w:gridCol w:w="567"/>
        <w:gridCol w:w="568"/>
        <w:gridCol w:w="568"/>
        <w:gridCol w:w="568"/>
        <w:gridCol w:w="568"/>
        <w:gridCol w:w="568"/>
        <w:gridCol w:w="568"/>
        <w:gridCol w:w="568"/>
        <w:gridCol w:w="568"/>
        <w:gridCol w:w="787"/>
      </w:tblGrid>
      <w:tr w:rsidR="00040D04" w:rsidTr="000C228E">
        <w:trPr>
          <w:trHeight w:val="2851"/>
        </w:trPr>
        <w:tc>
          <w:tcPr>
            <w:tcW w:w="1098" w:type="pct"/>
            <w:shd w:val="clear" w:color="4F81BD" w:fill="4F81BD"/>
            <w:noWrap/>
            <w:vAlign w:val="bottom"/>
            <w:hideMark/>
          </w:tcPr>
          <w:p w:rsidR="000C228E" w:rsidRPr="00DF1984" w:rsidRDefault="002E29C1" w:rsidP="000C228E">
            <w:pPr>
              <w:autoSpaceDE/>
              <w:autoSpaceDN/>
              <w:adjustRightInd/>
              <w:spacing w:after="0"/>
              <w:jc w:val="left"/>
              <w:rPr>
                <w:rFonts w:ascii="Calibri" w:eastAsia="Times New Roman" w:hAnsi="Calibri" w:cs="Times New Roman"/>
                <w:b/>
                <w:bCs/>
                <w:color w:val="FFFFFF"/>
                <w:sz w:val="20"/>
                <w:szCs w:val="20"/>
                <w:lang w:eastAsia="en-GB"/>
              </w:rPr>
            </w:pPr>
            <w:r w:rsidRPr="00DF1984">
              <w:rPr>
                <w:rFonts w:ascii="Calibri" w:eastAsia="Times New Roman" w:hAnsi="Calibri" w:cs="Times New Roman"/>
                <w:b/>
                <w:bCs/>
                <w:color w:val="FFFFFF"/>
                <w:sz w:val="22"/>
                <w:szCs w:val="20"/>
                <w:lang w:eastAsia="en-GB"/>
              </w:rPr>
              <w:t>Provider</w:t>
            </w:r>
          </w:p>
        </w:tc>
        <w:tc>
          <w:tcPr>
            <w:tcW w:w="315" w:type="pct"/>
            <w:shd w:val="clear" w:color="4F81BD" w:fill="4F81BD"/>
            <w:noWrap/>
            <w:textDirection w:val="btLr"/>
            <w:vAlign w:val="bottom"/>
            <w:hideMark/>
          </w:tcPr>
          <w:p w:rsidR="000C228E" w:rsidRPr="00DF1984" w:rsidRDefault="002E29C1" w:rsidP="000C228E">
            <w:pPr>
              <w:autoSpaceDE/>
              <w:autoSpaceDN/>
              <w:adjustRightInd/>
              <w:spacing w:after="0"/>
              <w:ind w:left="113" w:right="113"/>
              <w:jc w:val="left"/>
              <w:rPr>
                <w:rFonts w:ascii="Calibri" w:eastAsia="Times New Roman" w:hAnsi="Calibri" w:cs="Times New Roman"/>
                <w:b/>
                <w:bCs/>
                <w:color w:val="FFFFFF"/>
                <w:sz w:val="20"/>
                <w:szCs w:val="20"/>
                <w:lang w:eastAsia="en-GB"/>
              </w:rPr>
            </w:pPr>
            <w:r w:rsidRPr="00DF1984">
              <w:rPr>
                <w:rFonts w:ascii="Calibri" w:eastAsia="Times New Roman" w:hAnsi="Calibri" w:cs="Times New Roman"/>
                <w:b/>
                <w:bCs/>
                <w:color w:val="FFFFFF"/>
                <w:sz w:val="20"/>
                <w:szCs w:val="20"/>
                <w:lang w:eastAsia="en-GB"/>
              </w:rPr>
              <w:t>A_COMPLETION_ASSESSMENT</w:t>
            </w:r>
          </w:p>
        </w:tc>
        <w:tc>
          <w:tcPr>
            <w:tcW w:w="315" w:type="pct"/>
            <w:shd w:val="clear" w:color="4F81BD" w:fill="4F81BD"/>
            <w:noWrap/>
            <w:textDirection w:val="btLr"/>
            <w:vAlign w:val="bottom"/>
            <w:hideMark/>
          </w:tcPr>
          <w:p w:rsidR="000C228E" w:rsidRPr="00DF1984" w:rsidRDefault="002E29C1" w:rsidP="000C228E">
            <w:pPr>
              <w:autoSpaceDE/>
              <w:autoSpaceDN/>
              <w:adjustRightInd/>
              <w:spacing w:after="0"/>
              <w:ind w:left="113" w:right="113"/>
              <w:jc w:val="left"/>
              <w:rPr>
                <w:rFonts w:ascii="Calibri" w:eastAsia="Times New Roman" w:hAnsi="Calibri" w:cs="Times New Roman"/>
                <w:b/>
                <w:bCs/>
                <w:color w:val="FFFFFF"/>
                <w:sz w:val="20"/>
                <w:szCs w:val="20"/>
                <w:lang w:eastAsia="en-GB"/>
              </w:rPr>
            </w:pPr>
            <w:r w:rsidRPr="00DF1984">
              <w:rPr>
                <w:rFonts w:ascii="Calibri" w:eastAsia="Times New Roman" w:hAnsi="Calibri" w:cs="Times New Roman"/>
                <w:b/>
                <w:bCs/>
                <w:color w:val="FFFFFF"/>
                <w:sz w:val="20"/>
                <w:szCs w:val="20"/>
                <w:lang w:eastAsia="en-GB"/>
              </w:rPr>
              <w:t>B_PUBLIC_FUNDING</w:t>
            </w:r>
          </w:p>
        </w:tc>
        <w:tc>
          <w:tcPr>
            <w:tcW w:w="315" w:type="pct"/>
            <w:shd w:val="clear" w:color="4F81BD" w:fill="4F81BD"/>
            <w:noWrap/>
            <w:textDirection w:val="btLr"/>
            <w:vAlign w:val="bottom"/>
            <w:hideMark/>
          </w:tcPr>
          <w:p w:rsidR="000C228E" w:rsidRPr="00DF1984" w:rsidRDefault="002E29C1" w:rsidP="000C228E">
            <w:pPr>
              <w:autoSpaceDE/>
              <w:autoSpaceDN/>
              <w:adjustRightInd/>
              <w:spacing w:after="0"/>
              <w:ind w:left="113" w:right="113"/>
              <w:jc w:val="left"/>
              <w:rPr>
                <w:rFonts w:ascii="Calibri" w:eastAsia="Times New Roman" w:hAnsi="Calibri" w:cs="Times New Roman"/>
                <w:b/>
                <w:bCs/>
                <w:color w:val="FFFFFF"/>
                <w:sz w:val="20"/>
                <w:szCs w:val="20"/>
                <w:lang w:eastAsia="en-GB"/>
              </w:rPr>
            </w:pPr>
            <w:r w:rsidRPr="00DF1984">
              <w:rPr>
                <w:rFonts w:ascii="Calibri" w:eastAsia="Times New Roman" w:hAnsi="Calibri" w:cs="Times New Roman"/>
                <w:b/>
                <w:bCs/>
                <w:color w:val="FFFFFF"/>
                <w:sz w:val="20"/>
                <w:szCs w:val="20"/>
                <w:lang w:eastAsia="en-GB"/>
              </w:rPr>
              <w:t>C_FURTHER_NON_ACUTE_NHS</w:t>
            </w:r>
          </w:p>
        </w:tc>
        <w:tc>
          <w:tcPr>
            <w:tcW w:w="315" w:type="pct"/>
            <w:shd w:val="clear" w:color="4F81BD" w:fill="4F81BD"/>
            <w:noWrap/>
            <w:textDirection w:val="btLr"/>
            <w:vAlign w:val="bottom"/>
            <w:hideMark/>
          </w:tcPr>
          <w:p w:rsidR="000C228E" w:rsidRPr="00DF1984" w:rsidRDefault="002E29C1" w:rsidP="000C228E">
            <w:pPr>
              <w:autoSpaceDE/>
              <w:autoSpaceDN/>
              <w:adjustRightInd/>
              <w:spacing w:after="0"/>
              <w:ind w:left="113" w:right="113"/>
              <w:jc w:val="left"/>
              <w:rPr>
                <w:rFonts w:ascii="Calibri" w:eastAsia="Times New Roman" w:hAnsi="Calibri" w:cs="Times New Roman"/>
                <w:b/>
                <w:bCs/>
                <w:color w:val="FFFFFF"/>
                <w:sz w:val="20"/>
                <w:szCs w:val="20"/>
                <w:lang w:eastAsia="en-GB"/>
              </w:rPr>
            </w:pPr>
            <w:r w:rsidRPr="00DF1984">
              <w:rPr>
                <w:rFonts w:ascii="Calibri" w:eastAsia="Times New Roman" w:hAnsi="Calibri" w:cs="Times New Roman"/>
                <w:b/>
                <w:bCs/>
                <w:color w:val="FFFFFF"/>
                <w:sz w:val="20"/>
                <w:szCs w:val="20"/>
                <w:lang w:eastAsia="en-GB"/>
              </w:rPr>
              <w:t>DI_RESIDENTIAL_HOME</w:t>
            </w:r>
          </w:p>
        </w:tc>
        <w:tc>
          <w:tcPr>
            <w:tcW w:w="315" w:type="pct"/>
            <w:shd w:val="clear" w:color="4F81BD" w:fill="4F81BD"/>
            <w:noWrap/>
            <w:textDirection w:val="btLr"/>
            <w:vAlign w:val="bottom"/>
            <w:hideMark/>
          </w:tcPr>
          <w:p w:rsidR="000C228E" w:rsidRPr="00DF1984" w:rsidRDefault="002E29C1" w:rsidP="000C228E">
            <w:pPr>
              <w:autoSpaceDE/>
              <w:autoSpaceDN/>
              <w:adjustRightInd/>
              <w:spacing w:after="0"/>
              <w:ind w:left="113" w:right="113"/>
              <w:jc w:val="left"/>
              <w:rPr>
                <w:rFonts w:ascii="Calibri" w:eastAsia="Times New Roman" w:hAnsi="Calibri" w:cs="Times New Roman"/>
                <w:b/>
                <w:bCs/>
                <w:color w:val="FFFFFF"/>
                <w:sz w:val="20"/>
                <w:szCs w:val="20"/>
                <w:lang w:eastAsia="en-GB"/>
              </w:rPr>
            </w:pPr>
            <w:r w:rsidRPr="00DF1984">
              <w:rPr>
                <w:rFonts w:ascii="Calibri" w:eastAsia="Times New Roman" w:hAnsi="Calibri" w:cs="Times New Roman"/>
                <w:b/>
                <w:bCs/>
                <w:color w:val="FFFFFF"/>
                <w:sz w:val="20"/>
                <w:szCs w:val="20"/>
                <w:lang w:eastAsia="en-GB"/>
              </w:rPr>
              <w:t>DII_NURSING_HOME</w:t>
            </w:r>
          </w:p>
        </w:tc>
        <w:tc>
          <w:tcPr>
            <w:tcW w:w="315" w:type="pct"/>
            <w:shd w:val="clear" w:color="4F81BD" w:fill="4F81BD"/>
            <w:noWrap/>
            <w:textDirection w:val="btLr"/>
            <w:vAlign w:val="bottom"/>
            <w:hideMark/>
          </w:tcPr>
          <w:p w:rsidR="000C228E" w:rsidRPr="00DF1984" w:rsidRDefault="002E29C1" w:rsidP="000C228E">
            <w:pPr>
              <w:autoSpaceDE/>
              <w:autoSpaceDN/>
              <w:adjustRightInd/>
              <w:spacing w:after="0"/>
              <w:ind w:left="113" w:right="113"/>
              <w:jc w:val="left"/>
              <w:rPr>
                <w:rFonts w:ascii="Calibri" w:eastAsia="Times New Roman" w:hAnsi="Calibri" w:cs="Times New Roman"/>
                <w:b/>
                <w:bCs/>
                <w:color w:val="FFFFFF"/>
                <w:sz w:val="20"/>
                <w:szCs w:val="20"/>
                <w:lang w:eastAsia="en-GB"/>
              </w:rPr>
            </w:pPr>
            <w:r w:rsidRPr="00DF1984">
              <w:rPr>
                <w:rFonts w:ascii="Calibri" w:eastAsia="Times New Roman" w:hAnsi="Calibri" w:cs="Times New Roman"/>
                <w:b/>
                <w:bCs/>
                <w:color w:val="FFFFFF"/>
                <w:sz w:val="20"/>
                <w:szCs w:val="20"/>
                <w:lang w:eastAsia="en-GB"/>
              </w:rPr>
              <w:t>E_CARE_PACKAGE_IN_HOME</w:t>
            </w:r>
          </w:p>
        </w:tc>
        <w:tc>
          <w:tcPr>
            <w:tcW w:w="315" w:type="pct"/>
            <w:shd w:val="clear" w:color="4F81BD" w:fill="4F81BD"/>
            <w:noWrap/>
            <w:textDirection w:val="btLr"/>
            <w:vAlign w:val="bottom"/>
            <w:hideMark/>
          </w:tcPr>
          <w:p w:rsidR="000C228E" w:rsidRPr="00DF1984" w:rsidRDefault="002E29C1" w:rsidP="000C228E">
            <w:pPr>
              <w:autoSpaceDE/>
              <w:autoSpaceDN/>
              <w:adjustRightInd/>
              <w:spacing w:after="0"/>
              <w:ind w:left="113" w:right="113"/>
              <w:jc w:val="left"/>
              <w:rPr>
                <w:rFonts w:ascii="Calibri" w:eastAsia="Times New Roman" w:hAnsi="Calibri" w:cs="Times New Roman"/>
                <w:b/>
                <w:bCs/>
                <w:color w:val="FFFFFF"/>
                <w:sz w:val="20"/>
                <w:szCs w:val="20"/>
                <w:lang w:eastAsia="en-GB"/>
              </w:rPr>
            </w:pPr>
            <w:r w:rsidRPr="00DF1984">
              <w:rPr>
                <w:rFonts w:ascii="Calibri" w:eastAsia="Times New Roman" w:hAnsi="Calibri" w:cs="Times New Roman"/>
                <w:b/>
                <w:bCs/>
                <w:color w:val="FFFFFF"/>
                <w:sz w:val="20"/>
                <w:szCs w:val="20"/>
                <w:lang w:eastAsia="en-GB"/>
              </w:rPr>
              <w:t>F_COMMUNITY_EQUIP_ADAPT</w:t>
            </w:r>
          </w:p>
        </w:tc>
        <w:tc>
          <w:tcPr>
            <w:tcW w:w="315" w:type="pct"/>
            <w:shd w:val="clear" w:color="4F81BD" w:fill="4F81BD"/>
            <w:noWrap/>
            <w:textDirection w:val="btLr"/>
            <w:vAlign w:val="bottom"/>
            <w:hideMark/>
          </w:tcPr>
          <w:p w:rsidR="000C228E" w:rsidRPr="00DF1984" w:rsidRDefault="002E29C1" w:rsidP="000C228E">
            <w:pPr>
              <w:autoSpaceDE/>
              <w:autoSpaceDN/>
              <w:adjustRightInd/>
              <w:spacing w:after="0"/>
              <w:ind w:left="113" w:right="113"/>
              <w:jc w:val="left"/>
              <w:rPr>
                <w:rFonts w:ascii="Calibri" w:eastAsia="Times New Roman" w:hAnsi="Calibri" w:cs="Times New Roman"/>
                <w:b/>
                <w:bCs/>
                <w:color w:val="FFFFFF"/>
                <w:sz w:val="20"/>
                <w:szCs w:val="20"/>
                <w:lang w:eastAsia="en-GB"/>
              </w:rPr>
            </w:pPr>
            <w:r w:rsidRPr="00DF1984">
              <w:rPr>
                <w:rFonts w:ascii="Calibri" w:eastAsia="Times New Roman" w:hAnsi="Calibri" w:cs="Times New Roman"/>
                <w:b/>
                <w:bCs/>
                <w:color w:val="FFFFFF"/>
                <w:sz w:val="20"/>
                <w:szCs w:val="20"/>
                <w:lang w:eastAsia="en-GB"/>
              </w:rPr>
              <w:t>G_PATIENT_FAMILY_CHOICE</w:t>
            </w:r>
          </w:p>
        </w:tc>
        <w:tc>
          <w:tcPr>
            <w:tcW w:w="315" w:type="pct"/>
            <w:shd w:val="clear" w:color="4F81BD" w:fill="4F81BD"/>
            <w:noWrap/>
            <w:textDirection w:val="btLr"/>
            <w:vAlign w:val="bottom"/>
            <w:hideMark/>
          </w:tcPr>
          <w:p w:rsidR="000C228E" w:rsidRPr="00DF1984" w:rsidRDefault="002E29C1" w:rsidP="000C228E">
            <w:pPr>
              <w:autoSpaceDE/>
              <w:autoSpaceDN/>
              <w:adjustRightInd/>
              <w:spacing w:after="0"/>
              <w:ind w:left="113" w:right="113"/>
              <w:jc w:val="left"/>
              <w:rPr>
                <w:rFonts w:ascii="Calibri" w:eastAsia="Times New Roman" w:hAnsi="Calibri" w:cs="Times New Roman"/>
                <w:b/>
                <w:bCs/>
                <w:color w:val="FFFFFF"/>
                <w:sz w:val="20"/>
                <w:szCs w:val="20"/>
                <w:lang w:eastAsia="en-GB"/>
              </w:rPr>
            </w:pPr>
            <w:r w:rsidRPr="00DF1984">
              <w:rPr>
                <w:rFonts w:ascii="Calibri" w:eastAsia="Times New Roman" w:hAnsi="Calibri" w:cs="Times New Roman"/>
                <w:b/>
                <w:bCs/>
                <w:color w:val="FFFFFF"/>
                <w:sz w:val="20"/>
                <w:szCs w:val="20"/>
                <w:lang w:eastAsia="en-GB"/>
              </w:rPr>
              <w:t>H_DISPUTES</w:t>
            </w:r>
          </w:p>
        </w:tc>
        <w:tc>
          <w:tcPr>
            <w:tcW w:w="315" w:type="pct"/>
            <w:shd w:val="clear" w:color="4F81BD" w:fill="4F81BD"/>
            <w:noWrap/>
            <w:textDirection w:val="btLr"/>
            <w:vAlign w:val="bottom"/>
            <w:hideMark/>
          </w:tcPr>
          <w:p w:rsidR="000C228E" w:rsidRPr="00DF1984" w:rsidRDefault="002E29C1" w:rsidP="000C228E">
            <w:pPr>
              <w:autoSpaceDE/>
              <w:autoSpaceDN/>
              <w:adjustRightInd/>
              <w:spacing w:after="0"/>
              <w:ind w:left="113" w:right="113"/>
              <w:jc w:val="left"/>
              <w:rPr>
                <w:rFonts w:ascii="Calibri" w:eastAsia="Times New Roman" w:hAnsi="Calibri" w:cs="Times New Roman"/>
                <w:b/>
                <w:bCs/>
                <w:color w:val="FFFFFF"/>
                <w:sz w:val="20"/>
                <w:szCs w:val="20"/>
                <w:lang w:eastAsia="en-GB"/>
              </w:rPr>
            </w:pPr>
            <w:r w:rsidRPr="00DF1984">
              <w:rPr>
                <w:rFonts w:ascii="Calibri" w:eastAsia="Times New Roman" w:hAnsi="Calibri" w:cs="Times New Roman"/>
                <w:b/>
                <w:bCs/>
                <w:color w:val="FFFFFF"/>
                <w:sz w:val="20"/>
                <w:szCs w:val="20"/>
                <w:lang w:eastAsia="en-GB"/>
              </w:rPr>
              <w:t>I_HOUSING</w:t>
            </w:r>
          </w:p>
        </w:tc>
        <w:tc>
          <w:tcPr>
            <w:tcW w:w="315" w:type="pct"/>
            <w:shd w:val="clear" w:color="4F81BD" w:fill="4F81BD"/>
            <w:noWrap/>
            <w:textDirection w:val="btLr"/>
            <w:vAlign w:val="bottom"/>
            <w:hideMark/>
          </w:tcPr>
          <w:p w:rsidR="000C228E" w:rsidRPr="00DF1984" w:rsidRDefault="002E29C1" w:rsidP="000C228E">
            <w:pPr>
              <w:autoSpaceDE/>
              <w:autoSpaceDN/>
              <w:adjustRightInd/>
              <w:spacing w:after="0"/>
              <w:ind w:left="113" w:right="113"/>
              <w:jc w:val="left"/>
              <w:rPr>
                <w:rFonts w:ascii="Calibri" w:eastAsia="Times New Roman" w:hAnsi="Calibri" w:cs="Times New Roman"/>
                <w:b/>
                <w:bCs/>
                <w:color w:val="FFFFFF"/>
                <w:sz w:val="20"/>
                <w:szCs w:val="20"/>
                <w:lang w:eastAsia="en-GB"/>
              </w:rPr>
            </w:pPr>
            <w:r w:rsidRPr="00DF1984">
              <w:rPr>
                <w:rFonts w:ascii="Calibri" w:eastAsia="Times New Roman" w:hAnsi="Calibri" w:cs="Times New Roman"/>
                <w:b/>
                <w:bCs/>
                <w:color w:val="FFFFFF"/>
                <w:sz w:val="20"/>
                <w:szCs w:val="20"/>
                <w:lang w:eastAsia="en-GB"/>
              </w:rPr>
              <w:t>O_OTHER</w:t>
            </w:r>
          </w:p>
        </w:tc>
        <w:tc>
          <w:tcPr>
            <w:tcW w:w="440" w:type="pct"/>
            <w:shd w:val="clear" w:color="4F81BD" w:fill="4F81BD"/>
            <w:noWrap/>
            <w:textDirection w:val="btLr"/>
            <w:vAlign w:val="bottom"/>
            <w:hideMark/>
          </w:tcPr>
          <w:p w:rsidR="000C228E" w:rsidRPr="00DF1984" w:rsidRDefault="002E29C1" w:rsidP="000C228E">
            <w:pPr>
              <w:autoSpaceDE/>
              <w:autoSpaceDN/>
              <w:adjustRightInd/>
              <w:spacing w:after="0"/>
              <w:ind w:left="113" w:right="113"/>
              <w:jc w:val="left"/>
              <w:rPr>
                <w:rFonts w:ascii="Calibri" w:eastAsia="Times New Roman" w:hAnsi="Calibri" w:cs="Times New Roman"/>
                <w:b/>
                <w:bCs/>
                <w:color w:val="FFFFFF"/>
                <w:sz w:val="20"/>
                <w:szCs w:val="20"/>
                <w:lang w:eastAsia="en-GB"/>
              </w:rPr>
            </w:pPr>
            <w:r w:rsidRPr="00DF1984">
              <w:rPr>
                <w:rFonts w:ascii="Calibri" w:eastAsia="Times New Roman" w:hAnsi="Calibri" w:cs="Times New Roman"/>
                <w:b/>
                <w:bCs/>
                <w:color w:val="FFFFFF"/>
                <w:sz w:val="20"/>
                <w:szCs w:val="20"/>
                <w:lang w:eastAsia="en-GB"/>
              </w:rPr>
              <w:t>Grand Total</w:t>
            </w:r>
          </w:p>
        </w:tc>
      </w:tr>
      <w:tr w:rsidR="00040D04" w:rsidTr="000C228E">
        <w:trPr>
          <w:trHeight w:val="300"/>
        </w:trPr>
        <w:tc>
          <w:tcPr>
            <w:tcW w:w="1098" w:type="pct"/>
            <w:shd w:val="clear" w:color="auto" w:fill="auto"/>
            <w:noWrap/>
            <w:vAlign w:val="bottom"/>
            <w:hideMark/>
          </w:tcPr>
          <w:p w:rsidR="00DF1984" w:rsidRPr="00DF1984" w:rsidRDefault="002E29C1" w:rsidP="00DF1984">
            <w:pPr>
              <w:autoSpaceDE/>
              <w:autoSpaceDN/>
              <w:adjustRightInd/>
              <w:spacing w:after="0"/>
              <w:jc w:val="lef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BLACKPOOL TEACHING HOSPITALS NHS FOUNDATION TRUST</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69</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11</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12</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74</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1</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6</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2</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440"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175</w:t>
            </w:r>
          </w:p>
        </w:tc>
      </w:tr>
      <w:tr w:rsidR="00040D04" w:rsidTr="000C228E">
        <w:trPr>
          <w:trHeight w:val="300"/>
        </w:trPr>
        <w:tc>
          <w:tcPr>
            <w:tcW w:w="1098" w:type="pct"/>
            <w:shd w:val="clear" w:color="auto" w:fill="auto"/>
            <w:noWrap/>
            <w:vAlign w:val="bottom"/>
            <w:hideMark/>
          </w:tcPr>
          <w:p w:rsidR="00DF1984" w:rsidRPr="00DF1984" w:rsidRDefault="002E29C1" w:rsidP="00DF1984">
            <w:pPr>
              <w:autoSpaceDE/>
              <w:autoSpaceDN/>
              <w:adjustRightInd/>
              <w:spacing w:after="0"/>
              <w:jc w:val="lef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EAST LANCASHIRE HOSPITALS NHS TRUST</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43</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48</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20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19</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440"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130</w:t>
            </w:r>
          </w:p>
        </w:tc>
      </w:tr>
      <w:tr w:rsidR="00040D04" w:rsidTr="000C228E">
        <w:trPr>
          <w:trHeight w:val="300"/>
        </w:trPr>
        <w:tc>
          <w:tcPr>
            <w:tcW w:w="1098" w:type="pct"/>
            <w:shd w:val="clear" w:color="auto" w:fill="auto"/>
            <w:noWrap/>
            <w:vAlign w:val="bottom"/>
            <w:hideMark/>
          </w:tcPr>
          <w:p w:rsidR="00DF1984" w:rsidRPr="00DF1984" w:rsidRDefault="002E29C1" w:rsidP="00DF1984">
            <w:pPr>
              <w:autoSpaceDE/>
              <w:autoSpaceDN/>
              <w:adjustRightInd/>
              <w:spacing w:after="0"/>
              <w:jc w:val="lef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LANCASHIRE TEACHING HOSPITALS NHS FOUNDATION TRUST</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228</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2</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215</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98</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124</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10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440"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677</w:t>
            </w:r>
          </w:p>
        </w:tc>
      </w:tr>
      <w:tr w:rsidR="00040D04" w:rsidTr="000C228E">
        <w:trPr>
          <w:trHeight w:val="300"/>
        </w:trPr>
        <w:tc>
          <w:tcPr>
            <w:tcW w:w="1098" w:type="pct"/>
            <w:shd w:val="clear" w:color="auto" w:fill="auto"/>
            <w:noWrap/>
            <w:vAlign w:val="bottom"/>
            <w:hideMark/>
          </w:tcPr>
          <w:p w:rsidR="00DF1984" w:rsidRPr="00DF1984" w:rsidRDefault="002E29C1" w:rsidP="00DF1984">
            <w:pPr>
              <w:autoSpaceDE/>
              <w:autoSpaceDN/>
              <w:adjustRightInd/>
              <w:spacing w:after="0"/>
              <w:jc w:val="lef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PENNINE ACUTE HOSPITALS NHS TRUST</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5</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3</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440"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8</w:t>
            </w:r>
          </w:p>
        </w:tc>
      </w:tr>
      <w:tr w:rsidR="00040D04" w:rsidTr="000C228E">
        <w:trPr>
          <w:trHeight w:val="300"/>
        </w:trPr>
        <w:tc>
          <w:tcPr>
            <w:tcW w:w="1098" w:type="pct"/>
            <w:shd w:val="clear" w:color="auto" w:fill="auto"/>
            <w:noWrap/>
            <w:vAlign w:val="bottom"/>
            <w:hideMark/>
          </w:tcPr>
          <w:p w:rsidR="00DF1984" w:rsidRPr="00DF1984" w:rsidRDefault="002E29C1" w:rsidP="00DF1984">
            <w:pPr>
              <w:autoSpaceDE/>
              <w:autoSpaceDN/>
              <w:adjustRightInd/>
              <w:spacing w:after="0"/>
              <w:jc w:val="lef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SOUTHPORT AND ORMSKIRK HOSPITAL NHS TRUST</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7</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440"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7</w:t>
            </w:r>
          </w:p>
        </w:tc>
      </w:tr>
      <w:tr w:rsidR="00040D04" w:rsidTr="000C228E">
        <w:trPr>
          <w:trHeight w:val="300"/>
        </w:trPr>
        <w:tc>
          <w:tcPr>
            <w:tcW w:w="1098" w:type="pct"/>
            <w:shd w:val="clear" w:color="auto" w:fill="auto"/>
            <w:noWrap/>
            <w:vAlign w:val="bottom"/>
            <w:hideMark/>
          </w:tcPr>
          <w:p w:rsidR="00DF1984" w:rsidRPr="00DF1984" w:rsidRDefault="002E29C1" w:rsidP="00DF1984">
            <w:pPr>
              <w:autoSpaceDE/>
              <w:autoSpaceDN/>
              <w:adjustRightInd/>
              <w:spacing w:after="0"/>
              <w:jc w:val="lef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UNIVERSITY HOSPITALS OF MORECAMBE BAY NHS FOUNDATION TRUST</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21</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28</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113</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11</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18</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440"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191</w:t>
            </w:r>
          </w:p>
        </w:tc>
      </w:tr>
      <w:tr w:rsidR="00040D04" w:rsidTr="000C228E">
        <w:trPr>
          <w:trHeight w:val="300"/>
        </w:trPr>
        <w:tc>
          <w:tcPr>
            <w:tcW w:w="1098" w:type="pct"/>
            <w:shd w:val="clear" w:color="auto" w:fill="auto"/>
            <w:noWrap/>
            <w:vAlign w:val="bottom"/>
            <w:hideMark/>
          </w:tcPr>
          <w:p w:rsidR="00DF1984" w:rsidRPr="00DF1984" w:rsidRDefault="002E29C1" w:rsidP="00DF1984">
            <w:pPr>
              <w:autoSpaceDE/>
              <w:autoSpaceDN/>
              <w:adjustRightInd/>
              <w:spacing w:after="0"/>
              <w:jc w:val="lef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WRIGHTINGTON, WIGAN AND LEIGH NHS FOUNDATION TRUST</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10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3</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440"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13</w:t>
            </w:r>
          </w:p>
        </w:tc>
      </w:tr>
      <w:tr w:rsidR="00040D04" w:rsidTr="000C228E">
        <w:trPr>
          <w:trHeight w:val="300"/>
        </w:trPr>
        <w:tc>
          <w:tcPr>
            <w:tcW w:w="1098" w:type="pct"/>
            <w:shd w:val="clear" w:color="auto" w:fill="auto"/>
            <w:noWrap/>
            <w:vAlign w:val="bottom"/>
            <w:hideMark/>
          </w:tcPr>
          <w:p w:rsidR="00DF1984" w:rsidRPr="00DF1984" w:rsidRDefault="002E29C1" w:rsidP="00DF1984">
            <w:pPr>
              <w:autoSpaceDE/>
              <w:autoSpaceDN/>
              <w:adjustRightInd/>
              <w:spacing w:after="0"/>
              <w:jc w:val="lef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MERSEY CARE NHS FOUNDATION TRUST</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31</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0</w:t>
            </w:r>
          </w:p>
        </w:tc>
        <w:tc>
          <w:tcPr>
            <w:tcW w:w="440"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sz w:val="22"/>
                <w:szCs w:val="22"/>
                <w:lang w:eastAsia="en-GB"/>
              </w:rPr>
            </w:pPr>
            <w:r w:rsidRPr="00DF1984">
              <w:rPr>
                <w:rFonts w:ascii="Calibri" w:eastAsia="Times New Roman" w:hAnsi="Calibri" w:cs="Times New Roman"/>
                <w:sz w:val="22"/>
                <w:szCs w:val="22"/>
                <w:lang w:eastAsia="en-GB"/>
              </w:rPr>
              <w:t>31</w:t>
            </w:r>
          </w:p>
        </w:tc>
      </w:tr>
      <w:tr w:rsidR="00040D04" w:rsidTr="000C228E">
        <w:trPr>
          <w:trHeight w:val="535"/>
        </w:trPr>
        <w:tc>
          <w:tcPr>
            <w:tcW w:w="1098" w:type="pct"/>
            <w:shd w:val="clear" w:color="auto" w:fill="auto"/>
            <w:noWrap/>
            <w:vAlign w:val="bottom"/>
            <w:hideMark/>
          </w:tcPr>
          <w:p w:rsidR="00DF1984" w:rsidRPr="00DF1984" w:rsidRDefault="002E29C1" w:rsidP="00DF1984">
            <w:pPr>
              <w:autoSpaceDE/>
              <w:autoSpaceDN/>
              <w:adjustRightInd/>
              <w:spacing w:after="0"/>
              <w:jc w:val="left"/>
              <w:rPr>
                <w:rFonts w:ascii="Calibri" w:eastAsia="Times New Roman" w:hAnsi="Calibri" w:cs="Times New Roman"/>
                <w:b/>
                <w:bCs/>
                <w:sz w:val="22"/>
                <w:szCs w:val="22"/>
                <w:lang w:eastAsia="en-GB"/>
              </w:rPr>
            </w:pPr>
            <w:r w:rsidRPr="00DF1984">
              <w:rPr>
                <w:rFonts w:ascii="Calibri" w:eastAsia="Times New Roman" w:hAnsi="Calibri" w:cs="Times New Roman"/>
                <w:b/>
                <w:bCs/>
                <w:sz w:val="22"/>
                <w:szCs w:val="22"/>
                <w:lang w:eastAsia="en-GB"/>
              </w:rPr>
              <w:t>Grand Total</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b/>
                <w:bCs/>
                <w:sz w:val="22"/>
                <w:szCs w:val="22"/>
                <w:lang w:eastAsia="en-GB"/>
              </w:rPr>
            </w:pPr>
            <w:r w:rsidRPr="00DF1984">
              <w:rPr>
                <w:rFonts w:ascii="Calibri" w:eastAsia="Times New Roman" w:hAnsi="Calibri" w:cs="Times New Roman"/>
                <w:b/>
                <w:bCs/>
                <w:sz w:val="22"/>
                <w:szCs w:val="22"/>
                <w:lang w:eastAsia="en-GB"/>
              </w:rPr>
              <w:t>376</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b/>
                <w:bCs/>
                <w:sz w:val="22"/>
                <w:szCs w:val="22"/>
                <w:lang w:eastAsia="en-GB"/>
              </w:rPr>
            </w:pPr>
            <w:r w:rsidRPr="00DF1984">
              <w:rPr>
                <w:rFonts w:ascii="Calibri" w:eastAsia="Times New Roman" w:hAnsi="Calibri" w:cs="Times New Roman"/>
                <w:b/>
                <w:bCs/>
                <w:sz w:val="22"/>
                <w:szCs w:val="22"/>
                <w:lang w:eastAsia="en-GB"/>
              </w:rPr>
              <w:t>2</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b/>
                <w:bCs/>
                <w:sz w:val="22"/>
                <w:szCs w:val="22"/>
                <w:lang w:eastAsia="en-GB"/>
              </w:rPr>
            </w:pPr>
            <w:r w:rsidRPr="00DF1984">
              <w:rPr>
                <w:rFonts w:ascii="Calibri" w:eastAsia="Times New Roman" w:hAnsi="Calibri" w:cs="Times New Roman"/>
                <w:b/>
                <w:bCs/>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b/>
                <w:bCs/>
                <w:sz w:val="22"/>
                <w:szCs w:val="22"/>
                <w:lang w:eastAsia="en-GB"/>
              </w:rPr>
            </w:pPr>
            <w:r w:rsidRPr="00DF1984">
              <w:rPr>
                <w:rFonts w:ascii="Calibri" w:eastAsia="Times New Roman" w:hAnsi="Calibri" w:cs="Times New Roman"/>
                <w:b/>
                <w:bCs/>
                <w:sz w:val="22"/>
                <w:szCs w:val="22"/>
                <w:lang w:eastAsia="en-GB"/>
              </w:rPr>
              <w:t>254</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b/>
                <w:bCs/>
                <w:sz w:val="22"/>
                <w:szCs w:val="22"/>
                <w:lang w:eastAsia="en-GB"/>
              </w:rPr>
            </w:pPr>
            <w:r w:rsidRPr="00DF1984">
              <w:rPr>
                <w:rFonts w:ascii="Calibri" w:eastAsia="Times New Roman" w:hAnsi="Calibri" w:cs="Times New Roman"/>
                <w:b/>
                <w:bCs/>
                <w:sz w:val="22"/>
                <w:szCs w:val="22"/>
                <w:lang w:eastAsia="en-GB"/>
              </w:rPr>
              <w:t>254</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b/>
                <w:bCs/>
                <w:sz w:val="22"/>
                <w:szCs w:val="22"/>
                <w:lang w:eastAsia="en-GB"/>
              </w:rPr>
            </w:pPr>
            <w:r w:rsidRPr="00DF1984">
              <w:rPr>
                <w:rFonts w:ascii="Calibri" w:eastAsia="Times New Roman" w:hAnsi="Calibri" w:cs="Times New Roman"/>
                <w:b/>
                <w:bCs/>
                <w:sz w:val="22"/>
                <w:szCs w:val="22"/>
                <w:lang w:eastAsia="en-GB"/>
              </w:rPr>
              <w:t>267</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b/>
                <w:bCs/>
                <w:sz w:val="22"/>
                <w:szCs w:val="22"/>
                <w:lang w:eastAsia="en-GB"/>
              </w:rPr>
            </w:pPr>
            <w:r w:rsidRPr="00DF1984">
              <w:rPr>
                <w:rFonts w:ascii="Calibri" w:eastAsia="Times New Roman" w:hAnsi="Calibri" w:cs="Times New Roman"/>
                <w:b/>
                <w:bCs/>
                <w:sz w:val="22"/>
                <w:szCs w:val="22"/>
                <w:lang w:eastAsia="en-GB"/>
              </w:rPr>
              <w:t>49</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b/>
                <w:bCs/>
                <w:sz w:val="22"/>
                <w:szCs w:val="22"/>
                <w:lang w:eastAsia="en-GB"/>
              </w:rPr>
            </w:pPr>
            <w:r w:rsidRPr="00DF1984">
              <w:rPr>
                <w:rFonts w:ascii="Calibri" w:eastAsia="Times New Roman" w:hAnsi="Calibri" w:cs="Times New Roman"/>
                <w:b/>
                <w:bCs/>
                <w:sz w:val="22"/>
                <w:szCs w:val="22"/>
                <w:lang w:eastAsia="en-GB"/>
              </w:rPr>
              <w:t>28</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b/>
                <w:bCs/>
                <w:sz w:val="22"/>
                <w:szCs w:val="22"/>
                <w:lang w:eastAsia="en-GB"/>
              </w:rPr>
            </w:pPr>
            <w:r w:rsidRPr="00DF1984">
              <w:rPr>
                <w:rFonts w:ascii="Calibri" w:eastAsia="Times New Roman" w:hAnsi="Calibri" w:cs="Times New Roman"/>
                <w:b/>
                <w:bCs/>
                <w:sz w:val="22"/>
                <w:szCs w:val="22"/>
                <w:lang w:eastAsia="en-GB"/>
              </w:rPr>
              <w:t>2</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b/>
                <w:bCs/>
                <w:sz w:val="22"/>
                <w:szCs w:val="22"/>
                <w:lang w:eastAsia="en-GB"/>
              </w:rPr>
            </w:pPr>
            <w:r w:rsidRPr="00DF1984">
              <w:rPr>
                <w:rFonts w:ascii="Calibri" w:eastAsia="Times New Roman" w:hAnsi="Calibri" w:cs="Times New Roman"/>
                <w:b/>
                <w:bCs/>
                <w:sz w:val="22"/>
                <w:szCs w:val="22"/>
                <w:lang w:eastAsia="en-GB"/>
              </w:rPr>
              <w:t>0</w:t>
            </w:r>
          </w:p>
        </w:tc>
        <w:tc>
          <w:tcPr>
            <w:tcW w:w="315"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b/>
                <w:bCs/>
                <w:sz w:val="22"/>
                <w:szCs w:val="22"/>
                <w:lang w:eastAsia="en-GB"/>
              </w:rPr>
            </w:pPr>
            <w:r w:rsidRPr="00DF1984">
              <w:rPr>
                <w:rFonts w:ascii="Calibri" w:eastAsia="Times New Roman" w:hAnsi="Calibri" w:cs="Times New Roman"/>
                <w:b/>
                <w:bCs/>
                <w:sz w:val="22"/>
                <w:szCs w:val="22"/>
                <w:lang w:eastAsia="en-GB"/>
              </w:rPr>
              <w:t>0</w:t>
            </w:r>
          </w:p>
        </w:tc>
        <w:tc>
          <w:tcPr>
            <w:tcW w:w="440" w:type="pct"/>
            <w:shd w:val="clear" w:color="auto" w:fill="auto"/>
            <w:noWrap/>
            <w:vAlign w:val="bottom"/>
            <w:hideMark/>
          </w:tcPr>
          <w:p w:rsidR="00DF1984" w:rsidRPr="00DF1984" w:rsidRDefault="002E29C1" w:rsidP="00DF1984">
            <w:pPr>
              <w:autoSpaceDE/>
              <w:autoSpaceDN/>
              <w:adjustRightInd/>
              <w:spacing w:after="0"/>
              <w:jc w:val="right"/>
              <w:rPr>
                <w:rFonts w:ascii="Calibri" w:eastAsia="Times New Roman" w:hAnsi="Calibri" w:cs="Times New Roman"/>
                <w:b/>
                <w:bCs/>
                <w:sz w:val="22"/>
                <w:szCs w:val="22"/>
                <w:lang w:eastAsia="en-GB"/>
              </w:rPr>
            </w:pPr>
            <w:r w:rsidRPr="00DF1984">
              <w:rPr>
                <w:rFonts w:ascii="Calibri" w:eastAsia="Times New Roman" w:hAnsi="Calibri" w:cs="Times New Roman"/>
                <w:b/>
                <w:bCs/>
                <w:sz w:val="22"/>
                <w:szCs w:val="22"/>
                <w:lang w:eastAsia="en-GB"/>
              </w:rPr>
              <w:t>1232</w:t>
            </w:r>
          </w:p>
        </w:tc>
      </w:tr>
    </w:tbl>
    <w:p w:rsidR="00DF1984" w:rsidRPr="00DF1984" w:rsidRDefault="00AC7EBD">
      <w:pPr>
        <w:autoSpaceDE/>
        <w:autoSpaceDN/>
        <w:adjustRightInd/>
        <w:spacing w:after="0"/>
        <w:jc w:val="left"/>
        <w:rPr>
          <w:rFonts w:cs="Arial"/>
        </w:rPr>
      </w:pPr>
    </w:p>
    <w:p w:rsidR="008D72DA" w:rsidRPr="00DF1984" w:rsidRDefault="00AC7EBD">
      <w:pPr>
        <w:autoSpaceDE/>
        <w:autoSpaceDN/>
        <w:adjustRightInd/>
        <w:spacing w:after="0"/>
        <w:jc w:val="left"/>
        <w:rPr>
          <w:rFonts w:cs="Arial"/>
        </w:rPr>
      </w:pPr>
    </w:p>
    <w:p w:rsidR="008D3C10" w:rsidRPr="004E0234" w:rsidRDefault="00AC7EBD">
      <w:pPr>
        <w:autoSpaceDE/>
        <w:autoSpaceDN/>
        <w:adjustRightInd/>
        <w:spacing w:after="0"/>
        <w:jc w:val="left"/>
        <w:rPr>
          <w:rFonts w:cs="Arial"/>
        </w:rPr>
      </w:pPr>
    </w:p>
    <w:p w:rsidR="00D20769" w:rsidRPr="004E0234" w:rsidRDefault="002E29C1" w:rsidP="00F669DE">
      <w:pPr>
        <w:spacing w:after="240" w:line="259" w:lineRule="auto"/>
        <w:rPr>
          <w:rFonts w:cs="Arial"/>
        </w:rPr>
      </w:pPr>
      <w:r w:rsidRPr="004E0234">
        <w:rPr>
          <w:rFonts w:cs="Arial"/>
        </w:rPr>
        <w:lastRenderedPageBreak/>
        <w:t>Of the 376 delayed days recorded in Aug-18 for delays in assessment completion attributable to social care, a total of 228 (61%) were recorded by Lancashire Teaching Hospitals NHS Foundation Trust:</w:t>
      </w:r>
    </w:p>
    <w:p w:rsidR="008D09E1" w:rsidRPr="004E0234" w:rsidRDefault="002E29C1" w:rsidP="00F669DE">
      <w:pPr>
        <w:spacing w:after="240" w:line="259" w:lineRule="auto"/>
        <w:rPr>
          <w:rFonts w:cs="Arial"/>
        </w:rPr>
      </w:pPr>
      <w:r w:rsidRPr="004E0234">
        <w:rPr>
          <w:noProof/>
          <w:lang w:eastAsia="en-GB"/>
        </w:rPr>
        <w:drawing>
          <wp:inline distT="0" distB="0" distL="0" distR="0">
            <wp:extent cx="5727700" cy="3285460"/>
            <wp:effectExtent l="0" t="0" r="6350" b="1079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C6BED" w:rsidRPr="004E0234" w:rsidRDefault="002E29C1" w:rsidP="005C6BED">
      <w:pPr>
        <w:spacing w:after="240" w:line="259" w:lineRule="auto"/>
        <w:rPr>
          <w:rFonts w:cs="Arial"/>
        </w:rPr>
      </w:pPr>
      <w:r w:rsidRPr="004E0234">
        <w:rPr>
          <w:rFonts w:cs="Arial"/>
        </w:rPr>
        <w:t xml:space="preserve">Of the 254 delayed days recorded in Aug-18 for delays in arranging nursing care attributable to social care, a total of 98 (39%) were recorded by Lancashire Teaching Hospitals NHS Foundation Trust and 113 (44%) were recorded by Morecambe Bay. </w:t>
      </w:r>
    </w:p>
    <w:p w:rsidR="004650F1" w:rsidRPr="004E0234" w:rsidRDefault="002E29C1" w:rsidP="005C6BED">
      <w:pPr>
        <w:spacing w:after="240" w:line="259" w:lineRule="auto"/>
        <w:rPr>
          <w:rFonts w:cs="Arial"/>
        </w:rPr>
      </w:pPr>
      <w:r w:rsidRPr="004E0234">
        <w:rPr>
          <w:noProof/>
          <w:lang w:eastAsia="en-GB"/>
        </w:rPr>
        <w:drawing>
          <wp:inline distT="0" distB="0" distL="0" distR="0">
            <wp:extent cx="5727700" cy="3284855"/>
            <wp:effectExtent l="0" t="0" r="6350" b="1079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B57B9" w:rsidRPr="004D3C5E" w:rsidRDefault="00AC7EBD" w:rsidP="005C6BED">
      <w:pPr>
        <w:spacing w:after="240" w:line="259" w:lineRule="auto"/>
        <w:rPr>
          <w:rFonts w:cs="Arial"/>
        </w:rPr>
      </w:pPr>
    </w:p>
    <w:sectPr w:rsidR="009B57B9" w:rsidRPr="004D3C5E" w:rsidSect="00D8320A">
      <w:headerReference w:type="default" r:id="rId33"/>
      <w:footerReference w:type="default" r:id="rId34"/>
      <w:pgSz w:w="11900" w:h="16840" w:code="9"/>
      <w:pgMar w:top="1440" w:right="1440" w:bottom="1440" w:left="1440" w:header="567" w:footer="567" w:gutter="0"/>
      <w:pgNumType w:start="1"/>
      <w:cols w:space="292"/>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538A" w:rsidRDefault="002E29C1">
      <w:pPr>
        <w:spacing w:after="0"/>
      </w:pPr>
      <w:r>
        <w:separator/>
      </w:r>
    </w:p>
  </w:endnote>
  <w:endnote w:type="continuationSeparator" w:id="0">
    <w:p w:rsidR="00F7538A" w:rsidRDefault="002E29C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Light">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shd w:val="clear" w:color="auto" w:fill="BFBFBF"/>
      <w:tblLook w:val="04A0" w:firstRow="1" w:lastRow="0" w:firstColumn="1" w:lastColumn="0" w:noHBand="0" w:noVBand="1"/>
    </w:tblPr>
    <w:tblGrid>
      <w:gridCol w:w="9020"/>
    </w:tblGrid>
    <w:tr w:rsidR="00040D04" w:rsidTr="00C74127">
      <w:trPr>
        <w:jc w:val="center"/>
      </w:trPr>
      <w:tc>
        <w:tcPr>
          <w:tcW w:w="5000" w:type="pct"/>
          <w:shd w:val="clear" w:color="auto" w:fill="BFBFBF"/>
        </w:tcPr>
        <w:p w:rsidR="00F47AC6" w:rsidRPr="008E5502" w:rsidRDefault="002E29C1" w:rsidP="00DA1D79">
          <w:pPr>
            <w:pStyle w:val="Footer"/>
          </w:pPr>
          <w:r w:rsidRPr="008E5502">
            <w:t xml:space="preserve">• </w:t>
          </w:r>
          <w:r>
            <w:fldChar w:fldCharType="begin"/>
          </w:r>
          <w:r>
            <w:instrText xml:space="preserve"> PAGE   \* MERGEFORMAT </w:instrText>
          </w:r>
          <w:r>
            <w:fldChar w:fldCharType="separate"/>
          </w:r>
          <w:r w:rsidR="00AC7EBD">
            <w:rPr>
              <w:noProof/>
            </w:rPr>
            <w:t>22</w:t>
          </w:r>
          <w:r>
            <w:fldChar w:fldCharType="end"/>
          </w:r>
          <w:r w:rsidRPr="008E5502">
            <w:t xml:space="preserve"> •</w:t>
          </w:r>
        </w:p>
      </w:tc>
    </w:tr>
  </w:tbl>
  <w:p w:rsidR="00F47AC6" w:rsidRDefault="00AC7EBD" w:rsidP="008E5502">
    <w:pPr>
      <w:pStyle w:val="ancho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538A" w:rsidRDefault="002E29C1">
      <w:pPr>
        <w:spacing w:after="0"/>
      </w:pPr>
      <w:r>
        <w:separator/>
      </w:r>
    </w:p>
  </w:footnote>
  <w:footnote w:type="continuationSeparator" w:id="0">
    <w:p w:rsidR="00F7538A" w:rsidRDefault="002E29C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AC6" w:rsidRDefault="002E29C1">
    <w:pPr>
      <w:pStyle w:val="Header"/>
    </w:pPr>
    <w:r>
      <w:rPr>
        <w:noProof/>
        <w:lang w:eastAsia="en-GB"/>
      </w:rPr>
      <w:drawing>
        <wp:anchor distT="0" distB="0" distL="114300" distR="114300" simplePos="0" relativeHeight="251659264" behindDoc="1" locked="0" layoutInCell="1" allowOverlap="1">
          <wp:simplePos x="0" y="0"/>
          <wp:positionH relativeFrom="column">
            <wp:posOffset>-931545</wp:posOffset>
          </wp:positionH>
          <wp:positionV relativeFrom="paragraph">
            <wp:posOffset>-189230</wp:posOffset>
          </wp:positionV>
          <wp:extent cx="7571740" cy="10709910"/>
          <wp:effectExtent l="0" t="0" r="1270" b="0"/>
          <wp:wrapNone/>
          <wp:docPr id="15" name="Picture 15" descr="5085 Report Fron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319142" name="Picture 8" descr="5085 Report Front cop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1740" cy="107099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AC6" w:rsidRDefault="002E29C1">
    <w:pPr>
      <w:pStyle w:val="Header"/>
    </w:pPr>
    <w:r>
      <w:rPr>
        <w:noProof/>
        <w:lang w:eastAsia="en-GB"/>
      </w:rPr>
      <w:drawing>
        <wp:anchor distT="0" distB="0" distL="114300" distR="114300" simplePos="0" relativeHeight="251658240" behindDoc="1" locked="0" layoutInCell="1" allowOverlap="1">
          <wp:simplePos x="0" y="0"/>
          <wp:positionH relativeFrom="column">
            <wp:posOffset>-478155</wp:posOffset>
          </wp:positionH>
          <wp:positionV relativeFrom="paragraph">
            <wp:posOffset>-450215</wp:posOffset>
          </wp:positionV>
          <wp:extent cx="7564755" cy="10689590"/>
          <wp:effectExtent l="0" t="0" r="5080" b="0"/>
          <wp:wrapNone/>
          <wp:docPr id="16" name="Picture 16" descr="5085 Report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480024" name="Picture 7" descr="5085 Report Fron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755" cy="106895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shd w:val="clear" w:color="auto" w:fill="D31145"/>
      <w:tblLook w:val="04A0" w:firstRow="1" w:lastRow="0" w:firstColumn="1" w:lastColumn="0" w:noHBand="0" w:noVBand="1"/>
    </w:tblPr>
    <w:tblGrid>
      <w:gridCol w:w="9020"/>
    </w:tblGrid>
    <w:tr w:rsidR="00040D04" w:rsidTr="00C74127">
      <w:trPr>
        <w:jc w:val="center"/>
      </w:trPr>
      <w:tc>
        <w:tcPr>
          <w:tcW w:w="5000" w:type="pct"/>
          <w:shd w:val="clear" w:color="auto" w:fill="D31145"/>
        </w:tcPr>
        <w:p w:rsidR="00F47AC6" w:rsidRPr="00C74127" w:rsidRDefault="002E29C1" w:rsidP="00DA1D79">
          <w:pPr>
            <w:pStyle w:val="Header"/>
            <w:jc w:val="center"/>
          </w:pPr>
          <w:r w:rsidRPr="00034822">
            <w:t xml:space="preserve">Lancashire DToC </w:t>
          </w:r>
          <w:r>
            <w:t>Aug-18</w:t>
          </w:r>
        </w:p>
      </w:tc>
    </w:tr>
  </w:tbl>
  <w:p w:rsidR="00F47AC6" w:rsidRDefault="00AC7EBD" w:rsidP="008E5502">
    <w:pPr>
      <w:pStyle w:val="ancho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93464B"/>
    <w:multiLevelType w:val="hybridMultilevel"/>
    <w:tmpl w:val="D1847132"/>
    <w:lvl w:ilvl="0" w:tplc="DFD0ED9A">
      <w:start w:val="1"/>
      <w:numFmt w:val="bullet"/>
      <w:lvlText w:val=""/>
      <w:lvlJc w:val="left"/>
      <w:pPr>
        <w:ind w:left="720" w:hanging="360"/>
      </w:pPr>
      <w:rPr>
        <w:rFonts w:ascii="Symbol" w:hAnsi="Symbol" w:hint="default"/>
      </w:rPr>
    </w:lvl>
    <w:lvl w:ilvl="1" w:tplc="B90A6BD4" w:tentative="1">
      <w:start w:val="1"/>
      <w:numFmt w:val="bullet"/>
      <w:lvlText w:val="o"/>
      <w:lvlJc w:val="left"/>
      <w:pPr>
        <w:ind w:left="1440" w:hanging="360"/>
      </w:pPr>
      <w:rPr>
        <w:rFonts w:ascii="Courier New" w:hAnsi="Courier New" w:cs="Courier New" w:hint="default"/>
      </w:rPr>
    </w:lvl>
    <w:lvl w:ilvl="2" w:tplc="FAFEA0AA" w:tentative="1">
      <w:start w:val="1"/>
      <w:numFmt w:val="bullet"/>
      <w:lvlText w:val=""/>
      <w:lvlJc w:val="left"/>
      <w:pPr>
        <w:ind w:left="2160" w:hanging="360"/>
      </w:pPr>
      <w:rPr>
        <w:rFonts w:ascii="Wingdings" w:hAnsi="Wingdings" w:hint="default"/>
      </w:rPr>
    </w:lvl>
    <w:lvl w:ilvl="3" w:tplc="3DD6C920" w:tentative="1">
      <w:start w:val="1"/>
      <w:numFmt w:val="bullet"/>
      <w:lvlText w:val=""/>
      <w:lvlJc w:val="left"/>
      <w:pPr>
        <w:ind w:left="2880" w:hanging="360"/>
      </w:pPr>
      <w:rPr>
        <w:rFonts w:ascii="Symbol" w:hAnsi="Symbol" w:hint="default"/>
      </w:rPr>
    </w:lvl>
    <w:lvl w:ilvl="4" w:tplc="69C05B66" w:tentative="1">
      <w:start w:val="1"/>
      <w:numFmt w:val="bullet"/>
      <w:lvlText w:val="o"/>
      <w:lvlJc w:val="left"/>
      <w:pPr>
        <w:ind w:left="3600" w:hanging="360"/>
      </w:pPr>
      <w:rPr>
        <w:rFonts w:ascii="Courier New" w:hAnsi="Courier New" w:cs="Courier New" w:hint="default"/>
      </w:rPr>
    </w:lvl>
    <w:lvl w:ilvl="5" w:tplc="B8BECDC4" w:tentative="1">
      <w:start w:val="1"/>
      <w:numFmt w:val="bullet"/>
      <w:lvlText w:val=""/>
      <w:lvlJc w:val="left"/>
      <w:pPr>
        <w:ind w:left="4320" w:hanging="360"/>
      </w:pPr>
      <w:rPr>
        <w:rFonts w:ascii="Wingdings" w:hAnsi="Wingdings" w:hint="default"/>
      </w:rPr>
    </w:lvl>
    <w:lvl w:ilvl="6" w:tplc="8AD468D4" w:tentative="1">
      <w:start w:val="1"/>
      <w:numFmt w:val="bullet"/>
      <w:lvlText w:val=""/>
      <w:lvlJc w:val="left"/>
      <w:pPr>
        <w:ind w:left="5040" w:hanging="360"/>
      </w:pPr>
      <w:rPr>
        <w:rFonts w:ascii="Symbol" w:hAnsi="Symbol" w:hint="default"/>
      </w:rPr>
    </w:lvl>
    <w:lvl w:ilvl="7" w:tplc="11648DF2" w:tentative="1">
      <w:start w:val="1"/>
      <w:numFmt w:val="bullet"/>
      <w:lvlText w:val="o"/>
      <w:lvlJc w:val="left"/>
      <w:pPr>
        <w:ind w:left="5760" w:hanging="360"/>
      </w:pPr>
      <w:rPr>
        <w:rFonts w:ascii="Courier New" w:hAnsi="Courier New" w:cs="Courier New" w:hint="default"/>
      </w:rPr>
    </w:lvl>
    <w:lvl w:ilvl="8" w:tplc="183AE30E" w:tentative="1">
      <w:start w:val="1"/>
      <w:numFmt w:val="bullet"/>
      <w:lvlText w:val=""/>
      <w:lvlJc w:val="left"/>
      <w:pPr>
        <w:ind w:left="6480" w:hanging="360"/>
      </w:pPr>
      <w:rPr>
        <w:rFonts w:ascii="Wingdings" w:hAnsi="Wingdings" w:hint="default"/>
      </w:rPr>
    </w:lvl>
  </w:abstractNum>
  <w:abstractNum w:abstractNumId="1" w15:restartNumberingAfterBreak="0">
    <w:nsid w:val="32DE378D"/>
    <w:multiLevelType w:val="hybridMultilevel"/>
    <w:tmpl w:val="669255CA"/>
    <w:lvl w:ilvl="0" w:tplc="159C646A">
      <w:start w:val="1"/>
      <w:numFmt w:val="bullet"/>
      <w:pStyle w:val="Bullet"/>
      <w:lvlText w:val=""/>
      <w:lvlJc w:val="left"/>
      <w:pPr>
        <w:ind w:left="1077" w:hanging="360"/>
      </w:pPr>
      <w:rPr>
        <w:rFonts w:ascii="Symbol" w:hAnsi="Symbol" w:hint="default"/>
      </w:rPr>
    </w:lvl>
    <w:lvl w:ilvl="1" w:tplc="CCC419D4">
      <w:start w:val="1"/>
      <w:numFmt w:val="bullet"/>
      <w:pStyle w:val="Bullet-indent"/>
      <w:lvlText w:val="o"/>
      <w:lvlJc w:val="left"/>
      <w:pPr>
        <w:ind w:left="1797" w:hanging="360"/>
      </w:pPr>
      <w:rPr>
        <w:rFonts w:ascii="Courier New" w:hAnsi="Courier New" w:cs="Courier New" w:hint="default"/>
      </w:rPr>
    </w:lvl>
    <w:lvl w:ilvl="2" w:tplc="3D16D234" w:tentative="1">
      <w:start w:val="1"/>
      <w:numFmt w:val="bullet"/>
      <w:lvlText w:val=""/>
      <w:lvlJc w:val="left"/>
      <w:pPr>
        <w:ind w:left="2517" w:hanging="360"/>
      </w:pPr>
      <w:rPr>
        <w:rFonts w:ascii="Wingdings" w:hAnsi="Wingdings" w:hint="default"/>
      </w:rPr>
    </w:lvl>
    <w:lvl w:ilvl="3" w:tplc="C0482B08" w:tentative="1">
      <w:start w:val="1"/>
      <w:numFmt w:val="bullet"/>
      <w:lvlText w:val=""/>
      <w:lvlJc w:val="left"/>
      <w:pPr>
        <w:ind w:left="3237" w:hanging="360"/>
      </w:pPr>
      <w:rPr>
        <w:rFonts w:ascii="Symbol" w:hAnsi="Symbol" w:hint="default"/>
      </w:rPr>
    </w:lvl>
    <w:lvl w:ilvl="4" w:tplc="18C0DEAC" w:tentative="1">
      <w:start w:val="1"/>
      <w:numFmt w:val="bullet"/>
      <w:lvlText w:val="o"/>
      <w:lvlJc w:val="left"/>
      <w:pPr>
        <w:ind w:left="3957" w:hanging="360"/>
      </w:pPr>
      <w:rPr>
        <w:rFonts w:ascii="Courier New" w:hAnsi="Courier New" w:cs="Courier New" w:hint="default"/>
      </w:rPr>
    </w:lvl>
    <w:lvl w:ilvl="5" w:tplc="ECBC6C38" w:tentative="1">
      <w:start w:val="1"/>
      <w:numFmt w:val="bullet"/>
      <w:lvlText w:val=""/>
      <w:lvlJc w:val="left"/>
      <w:pPr>
        <w:ind w:left="4677" w:hanging="360"/>
      </w:pPr>
      <w:rPr>
        <w:rFonts w:ascii="Wingdings" w:hAnsi="Wingdings" w:hint="default"/>
      </w:rPr>
    </w:lvl>
    <w:lvl w:ilvl="6" w:tplc="3B603DEE" w:tentative="1">
      <w:start w:val="1"/>
      <w:numFmt w:val="bullet"/>
      <w:lvlText w:val=""/>
      <w:lvlJc w:val="left"/>
      <w:pPr>
        <w:ind w:left="5397" w:hanging="360"/>
      </w:pPr>
      <w:rPr>
        <w:rFonts w:ascii="Symbol" w:hAnsi="Symbol" w:hint="default"/>
      </w:rPr>
    </w:lvl>
    <w:lvl w:ilvl="7" w:tplc="444C82DE" w:tentative="1">
      <w:start w:val="1"/>
      <w:numFmt w:val="bullet"/>
      <w:lvlText w:val="o"/>
      <w:lvlJc w:val="left"/>
      <w:pPr>
        <w:ind w:left="6117" w:hanging="360"/>
      </w:pPr>
      <w:rPr>
        <w:rFonts w:ascii="Courier New" w:hAnsi="Courier New" w:cs="Courier New" w:hint="default"/>
      </w:rPr>
    </w:lvl>
    <w:lvl w:ilvl="8" w:tplc="E5663434" w:tentative="1">
      <w:start w:val="1"/>
      <w:numFmt w:val="bullet"/>
      <w:lvlText w:val=""/>
      <w:lvlJc w:val="left"/>
      <w:pPr>
        <w:ind w:left="6837" w:hanging="360"/>
      </w:pPr>
      <w:rPr>
        <w:rFonts w:ascii="Wingdings" w:hAnsi="Wingdings" w:hint="default"/>
      </w:rPr>
    </w:lvl>
  </w:abstractNum>
  <w:abstractNum w:abstractNumId="2" w15:restartNumberingAfterBreak="0">
    <w:nsid w:val="420860A3"/>
    <w:multiLevelType w:val="hybridMultilevel"/>
    <w:tmpl w:val="2DF6A548"/>
    <w:lvl w:ilvl="0" w:tplc="A83487E4">
      <w:start w:val="1"/>
      <w:numFmt w:val="decimal"/>
      <w:pStyle w:val="Heading2-numbered"/>
      <w:lvlText w:val="%1."/>
      <w:lvlJc w:val="left"/>
      <w:pPr>
        <w:ind w:left="360" w:hanging="360"/>
      </w:pPr>
    </w:lvl>
    <w:lvl w:ilvl="1" w:tplc="A4F83662" w:tentative="1">
      <w:start w:val="1"/>
      <w:numFmt w:val="lowerLetter"/>
      <w:lvlText w:val="%2."/>
      <w:lvlJc w:val="left"/>
      <w:pPr>
        <w:ind w:left="1080" w:hanging="360"/>
      </w:pPr>
    </w:lvl>
    <w:lvl w:ilvl="2" w:tplc="B4303FBE" w:tentative="1">
      <w:start w:val="1"/>
      <w:numFmt w:val="lowerRoman"/>
      <w:lvlText w:val="%3."/>
      <w:lvlJc w:val="right"/>
      <w:pPr>
        <w:ind w:left="1800" w:hanging="180"/>
      </w:pPr>
    </w:lvl>
    <w:lvl w:ilvl="3" w:tplc="EFDA219E" w:tentative="1">
      <w:start w:val="1"/>
      <w:numFmt w:val="decimal"/>
      <w:lvlText w:val="%4."/>
      <w:lvlJc w:val="left"/>
      <w:pPr>
        <w:ind w:left="2520" w:hanging="360"/>
      </w:pPr>
    </w:lvl>
    <w:lvl w:ilvl="4" w:tplc="249CC5EA" w:tentative="1">
      <w:start w:val="1"/>
      <w:numFmt w:val="lowerLetter"/>
      <w:lvlText w:val="%5."/>
      <w:lvlJc w:val="left"/>
      <w:pPr>
        <w:ind w:left="3240" w:hanging="360"/>
      </w:pPr>
    </w:lvl>
    <w:lvl w:ilvl="5" w:tplc="13923AF0" w:tentative="1">
      <w:start w:val="1"/>
      <w:numFmt w:val="lowerRoman"/>
      <w:lvlText w:val="%6."/>
      <w:lvlJc w:val="right"/>
      <w:pPr>
        <w:ind w:left="3960" w:hanging="180"/>
      </w:pPr>
    </w:lvl>
    <w:lvl w:ilvl="6" w:tplc="616A7DDA" w:tentative="1">
      <w:start w:val="1"/>
      <w:numFmt w:val="decimal"/>
      <w:lvlText w:val="%7."/>
      <w:lvlJc w:val="left"/>
      <w:pPr>
        <w:ind w:left="4680" w:hanging="360"/>
      </w:pPr>
    </w:lvl>
    <w:lvl w:ilvl="7" w:tplc="9B9C4A06" w:tentative="1">
      <w:start w:val="1"/>
      <w:numFmt w:val="lowerLetter"/>
      <w:lvlText w:val="%8."/>
      <w:lvlJc w:val="left"/>
      <w:pPr>
        <w:ind w:left="5400" w:hanging="360"/>
      </w:pPr>
    </w:lvl>
    <w:lvl w:ilvl="8" w:tplc="20AE223E" w:tentative="1">
      <w:start w:val="1"/>
      <w:numFmt w:val="lowerRoman"/>
      <w:lvlText w:val="%9."/>
      <w:lvlJc w:val="right"/>
      <w:pPr>
        <w:ind w:left="6120" w:hanging="180"/>
      </w:pPr>
    </w:lvl>
  </w:abstractNum>
  <w:abstractNum w:abstractNumId="3" w15:restartNumberingAfterBreak="0">
    <w:nsid w:val="49E0631A"/>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623C60FD"/>
    <w:multiLevelType w:val="hybridMultilevel"/>
    <w:tmpl w:val="35C4F18C"/>
    <w:lvl w:ilvl="0" w:tplc="2716BA22">
      <w:start w:val="1"/>
      <w:numFmt w:val="bullet"/>
      <w:lvlText w:val=""/>
      <w:lvlJc w:val="left"/>
      <w:pPr>
        <w:ind w:left="720" w:hanging="360"/>
      </w:pPr>
      <w:rPr>
        <w:rFonts w:ascii="Symbol" w:hAnsi="Symbol" w:hint="default"/>
      </w:rPr>
    </w:lvl>
    <w:lvl w:ilvl="1" w:tplc="58507FF4" w:tentative="1">
      <w:start w:val="1"/>
      <w:numFmt w:val="bullet"/>
      <w:lvlText w:val="o"/>
      <w:lvlJc w:val="left"/>
      <w:pPr>
        <w:ind w:left="1440" w:hanging="360"/>
      </w:pPr>
      <w:rPr>
        <w:rFonts w:ascii="Courier New" w:hAnsi="Courier New" w:cs="Courier New" w:hint="default"/>
      </w:rPr>
    </w:lvl>
    <w:lvl w:ilvl="2" w:tplc="5BB0C75C" w:tentative="1">
      <w:start w:val="1"/>
      <w:numFmt w:val="bullet"/>
      <w:lvlText w:val=""/>
      <w:lvlJc w:val="left"/>
      <w:pPr>
        <w:ind w:left="2160" w:hanging="360"/>
      </w:pPr>
      <w:rPr>
        <w:rFonts w:ascii="Wingdings" w:hAnsi="Wingdings" w:hint="default"/>
      </w:rPr>
    </w:lvl>
    <w:lvl w:ilvl="3" w:tplc="9354845E" w:tentative="1">
      <w:start w:val="1"/>
      <w:numFmt w:val="bullet"/>
      <w:lvlText w:val=""/>
      <w:lvlJc w:val="left"/>
      <w:pPr>
        <w:ind w:left="2880" w:hanging="360"/>
      </w:pPr>
      <w:rPr>
        <w:rFonts w:ascii="Symbol" w:hAnsi="Symbol" w:hint="default"/>
      </w:rPr>
    </w:lvl>
    <w:lvl w:ilvl="4" w:tplc="797A9E9A" w:tentative="1">
      <w:start w:val="1"/>
      <w:numFmt w:val="bullet"/>
      <w:lvlText w:val="o"/>
      <w:lvlJc w:val="left"/>
      <w:pPr>
        <w:ind w:left="3600" w:hanging="360"/>
      </w:pPr>
      <w:rPr>
        <w:rFonts w:ascii="Courier New" w:hAnsi="Courier New" w:cs="Courier New" w:hint="default"/>
      </w:rPr>
    </w:lvl>
    <w:lvl w:ilvl="5" w:tplc="FAE6DDD8" w:tentative="1">
      <w:start w:val="1"/>
      <w:numFmt w:val="bullet"/>
      <w:lvlText w:val=""/>
      <w:lvlJc w:val="left"/>
      <w:pPr>
        <w:ind w:left="4320" w:hanging="360"/>
      </w:pPr>
      <w:rPr>
        <w:rFonts w:ascii="Wingdings" w:hAnsi="Wingdings" w:hint="default"/>
      </w:rPr>
    </w:lvl>
    <w:lvl w:ilvl="6" w:tplc="62827D10" w:tentative="1">
      <w:start w:val="1"/>
      <w:numFmt w:val="bullet"/>
      <w:lvlText w:val=""/>
      <w:lvlJc w:val="left"/>
      <w:pPr>
        <w:ind w:left="5040" w:hanging="360"/>
      </w:pPr>
      <w:rPr>
        <w:rFonts w:ascii="Symbol" w:hAnsi="Symbol" w:hint="default"/>
      </w:rPr>
    </w:lvl>
    <w:lvl w:ilvl="7" w:tplc="74C2D8CA" w:tentative="1">
      <w:start w:val="1"/>
      <w:numFmt w:val="bullet"/>
      <w:lvlText w:val="o"/>
      <w:lvlJc w:val="left"/>
      <w:pPr>
        <w:ind w:left="5760" w:hanging="360"/>
      </w:pPr>
      <w:rPr>
        <w:rFonts w:ascii="Courier New" w:hAnsi="Courier New" w:cs="Courier New" w:hint="default"/>
      </w:rPr>
    </w:lvl>
    <w:lvl w:ilvl="8" w:tplc="63123360" w:tentative="1">
      <w:start w:val="1"/>
      <w:numFmt w:val="bullet"/>
      <w:lvlText w:val=""/>
      <w:lvlJc w:val="left"/>
      <w:pPr>
        <w:ind w:left="6480" w:hanging="360"/>
      </w:pPr>
      <w:rPr>
        <w:rFonts w:ascii="Wingdings" w:hAnsi="Wingdings" w:hint="default"/>
      </w:rPr>
    </w:lvl>
  </w:abstractNum>
  <w:abstractNum w:abstractNumId="5" w15:restartNumberingAfterBreak="0">
    <w:nsid w:val="712C6B77"/>
    <w:multiLevelType w:val="hybridMultilevel"/>
    <w:tmpl w:val="808278F0"/>
    <w:lvl w:ilvl="0" w:tplc="EC2AAC5A">
      <w:start w:val="1"/>
      <w:numFmt w:val="decimal"/>
      <w:pStyle w:val="Heading3-numbered"/>
      <w:lvlText w:val="%1."/>
      <w:lvlJc w:val="left"/>
      <w:pPr>
        <w:ind w:left="360" w:hanging="360"/>
      </w:pPr>
      <w:rPr>
        <w:b/>
        <w:i w:val="0"/>
        <w:color w:val="auto"/>
        <w:sz w:val="28"/>
        <w:szCs w:val="28"/>
      </w:rPr>
    </w:lvl>
    <w:lvl w:ilvl="1" w:tplc="8DAEE336" w:tentative="1">
      <w:start w:val="1"/>
      <w:numFmt w:val="lowerLetter"/>
      <w:lvlText w:val="%2."/>
      <w:lvlJc w:val="left"/>
      <w:pPr>
        <w:ind w:left="1080" w:hanging="360"/>
      </w:pPr>
    </w:lvl>
    <w:lvl w:ilvl="2" w:tplc="48A8EB04" w:tentative="1">
      <w:start w:val="1"/>
      <w:numFmt w:val="lowerRoman"/>
      <w:pStyle w:val="Heading3-numbered"/>
      <w:lvlText w:val="%3."/>
      <w:lvlJc w:val="right"/>
      <w:pPr>
        <w:ind w:left="1800" w:hanging="180"/>
      </w:pPr>
    </w:lvl>
    <w:lvl w:ilvl="3" w:tplc="82BAB59C" w:tentative="1">
      <w:start w:val="1"/>
      <w:numFmt w:val="decimal"/>
      <w:lvlText w:val="%4."/>
      <w:lvlJc w:val="left"/>
      <w:pPr>
        <w:ind w:left="2520" w:hanging="360"/>
      </w:pPr>
    </w:lvl>
    <w:lvl w:ilvl="4" w:tplc="96C45908" w:tentative="1">
      <w:start w:val="1"/>
      <w:numFmt w:val="lowerLetter"/>
      <w:lvlText w:val="%5."/>
      <w:lvlJc w:val="left"/>
      <w:pPr>
        <w:ind w:left="3240" w:hanging="360"/>
      </w:pPr>
    </w:lvl>
    <w:lvl w:ilvl="5" w:tplc="E1FC2D32" w:tentative="1">
      <w:start w:val="1"/>
      <w:numFmt w:val="lowerRoman"/>
      <w:lvlText w:val="%6."/>
      <w:lvlJc w:val="right"/>
      <w:pPr>
        <w:ind w:left="3960" w:hanging="180"/>
      </w:pPr>
    </w:lvl>
    <w:lvl w:ilvl="6" w:tplc="3C444A0A" w:tentative="1">
      <w:start w:val="1"/>
      <w:numFmt w:val="decimal"/>
      <w:lvlText w:val="%7."/>
      <w:lvlJc w:val="left"/>
      <w:pPr>
        <w:ind w:left="4680" w:hanging="360"/>
      </w:pPr>
    </w:lvl>
    <w:lvl w:ilvl="7" w:tplc="E4A0491E" w:tentative="1">
      <w:start w:val="1"/>
      <w:numFmt w:val="lowerLetter"/>
      <w:lvlText w:val="%8."/>
      <w:lvlJc w:val="left"/>
      <w:pPr>
        <w:ind w:left="5400" w:hanging="360"/>
      </w:pPr>
    </w:lvl>
    <w:lvl w:ilvl="8" w:tplc="8BDE389E" w:tentative="1">
      <w:start w:val="1"/>
      <w:numFmt w:val="lowerRoman"/>
      <w:lvlText w:val="%9."/>
      <w:lvlJc w:val="right"/>
      <w:pPr>
        <w:ind w:left="6120" w:hanging="180"/>
      </w:pPr>
    </w:lvl>
  </w:abstractNum>
  <w:num w:numId="1">
    <w:abstractNumId w:val="1"/>
  </w:num>
  <w:num w:numId="2">
    <w:abstractNumId w:val="2"/>
  </w:num>
  <w:num w:numId="3">
    <w:abstractNumId w:val="5"/>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attachedTemplate r:id="rId1"/>
  <w:trackRevisions/>
  <w:defaultTabStop w:val="720"/>
  <w:drawingGridHorizontalSpacing w:val="12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D04"/>
    <w:rsid w:val="00040D04"/>
    <w:rsid w:val="002E29C1"/>
    <w:rsid w:val="00AC7EBD"/>
    <w:rsid w:val="00F7538A"/>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FC23CF-35E6-4A69-A38B-39D38C78C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mbria"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2"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line number" w:semiHidden="1" w:unhideWhenUsed="1"/>
    <w:lsdException w:name="page number"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uiPriority="0"/>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semiHidden="1" w:uiPriority="0" w:unhideWhenUsed="1" w:qFormat="1"/>
    <w:lsdException w:name="Emphasis" w:semiHidden="1" w:uiPriority="0" w:unhideWhenUsed="1" w:qFormat="1"/>
    <w:lsdException w:name="Document Map" w:semiHidden="1" w:uiPriority="0" w:unhideWhenUsed="1"/>
    <w:lsdException w:name="Plain Text" w:semiHidden="1" w:uiPriority="2"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
    <w:qFormat/>
    <w:rsid w:val="009028CB"/>
    <w:pPr>
      <w:autoSpaceDE w:val="0"/>
      <w:autoSpaceDN w:val="0"/>
      <w:adjustRightInd w:val="0"/>
      <w:spacing w:after="120"/>
      <w:jc w:val="both"/>
    </w:pPr>
    <w:rPr>
      <w:rFonts w:eastAsia="Calibri" w:cs="Helvetica-Light"/>
      <w:color w:val="000000"/>
      <w:sz w:val="24"/>
      <w:szCs w:val="24"/>
      <w:lang w:eastAsia="en-US"/>
    </w:rPr>
  </w:style>
  <w:style w:type="paragraph" w:styleId="Heading1">
    <w:name w:val="heading 1"/>
    <w:basedOn w:val="Normal"/>
    <w:next w:val="Normal"/>
    <w:link w:val="Heading1Char"/>
    <w:qFormat/>
    <w:rsid w:val="007468E3"/>
    <w:pPr>
      <w:keepNext/>
      <w:numPr>
        <w:numId w:val="4"/>
      </w:numPr>
      <w:spacing w:before="120"/>
      <w:outlineLvl w:val="0"/>
    </w:pPr>
    <w:rPr>
      <w:rFonts w:eastAsia="Times New Roman"/>
      <w:b/>
      <w:bCs/>
      <w:color w:val="auto"/>
      <w:sz w:val="40"/>
      <w:szCs w:val="28"/>
      <w:lang w:eastAsia="en-GB"/>
    </w:rPr>
  </w:style>
  <w:style w:type="paragraph" w:styleId="Heading2">
    <w:name w:val="heading 2"/>
    <w:basedOn w:val="Normal"/>
    <w:next w:val="Normal"/>
    <w:link w:val="Heading2Char"/>
    <w:qFormat/>
    <w:rsid w:val="00A07590"/>
    <w:pPr>
      <w:keepNext/>
      <w:numPr>
        <w:ilvl w:val="1"/>
        <w:numId w:val="4"/>
      </w:numPr>
      <w:spacing w:before="60"/>
      <w:outlineLvl w:val="1"/>
    </w:pPr>
    <w:rPr>
      <w:rFonts w:eastAsia="Times New Roman"/>
      <w:b/>
      <w:bCs/>
      <w:sz w:val="32"/>
      <w:szCs w:val="26"/>
      <w:lang w:eastAsia="en-GB"/>
    </w:rPr>
  </w:style>
  <w:style w:type="paragraph" w:styleId="Heading3">
    <w:name w:val="heading 3"/>
    <w:basedOn w:val="Normal"/>
    <w:next w:val="Normal"/>
    <w:link w:val="Heading3Char"/>
    <w:qFormat/>
    <w:rsid w:val="000A1E1B"/>
    <w:pPr>
      <w:keepNext/>
      <w:keepLines/>
      <w:numPr>
        <w:ilvl w:val="2"/>
        <w:numId w:val="4"/>
      </w:numPr>
      <w:spacing w:before="60"/>
      <w:outlineLvl w:val="2"/>
    </w:pPr>
    <w:rPr>
      <w:rFonts w:eastAsia="Times New Roman" w:cs="Times New Roman"/>
      <w:b/>
      <w:bCs/>
      <w:i/>
      <w:color w:val="auto"/>
      <w:sz w:val="28"/>
      <w:szCs w:val="28"/>
    </w:rPr>
  </w:style>
  <w:style w:type="paragraph" w:styleId="Heading4">
    <w:name w:val="heading 4"/>
    <w:basedOn w:val="Normal"/>
    <w:next w:val="Normal"/>
    <w:link w:val="Heading4Char"/>
    <w:qFormat/>
    <w:rsid w:val="008C3748"/>
    <w:pPr>
      <w:keepNext/>
      <w:numPr>
        <w:ilvl w:val="3"/>
        <w:numId w:val="4"/>
      </w:numPr>
      <w:autoSpaceDE/>
      <w:autoSpaceDN/>
      <w:adjustRightInd/>
      <w:spacing w:before="240" w:after="60"/>
      <w:jc w:val="left"/>
      <w:outlineLvl w:val="3"/>
    </w:pPr>
    <w:rPr>
      <w:rFonts w:eastAsia="Times New Roman" w:cs="Arial"/>
      <w:b/>
      <w:bCs/>
      <w:color w:val="auto"/>
      <w:sz w:val="22"/>
      <w:szCs w:val="22"/>
      <w:lang w:eastAsia="en-GB"/>
    </w:rPr>
  </w:style>
  <w:style w:type="paragraph" w:styleId="Heading5">
    <w:name w:val="heading 5"/>
    <w:basedOn w:val="Normal"/>
    <w:next w:val="Normal"/>
    <w:link w:val="Heading5Char"/>
    <w:semiHidden/>
    <w:unhideWhenUsed/>
    <w:qFormat/>
    <w:rsid w:val="00AB4059"/>
    <w:pPr>
      <w:numPr>
        <w:ilvl w:val="4"/>
        <w:numId w:val="4"/>
      </w:numPr>
      <w:autoSpaceDE/>
      <w:autoSpaceDN/>
      <w:adjustRightInd/>
      <w:spacing w:before="240" w:after="60"/>
      <w:jc w:val="left"/>
      <w:outlineLvl w:val="4"/>
    </w:pPr>
    <w:rPr>
      <w:rFonts w:eastAsia="Times New Roman" w:cs="Arial"/>
      <w:b/>
      <w:bCs/>
      <w:i/>
      <w:iCs/>
      <w:color w:val="auto"/>
      <w:sz w:val="26"/>
      <w:szCs w:val="26"/>
      <w:lang w:eastAsia="en-GB"/>
    </w:rPr>
  </w:style>
  <w:style w:type="paragraph" w:styleId="Heading6">
    <w:name w:val="heading 6"/>
    <w:basedOn w:val="Normal"/>
    <w:next w:val="Normal"/>
    <w:link w:val="Heading6Char"/>
    <w:semiHidden/>
    <w:unhideWhenUsed/>
    <w:qFormat/>
    <w:rsid w:val="00AB4059"/>
    <w:pPr>
      <w:keepNext/>
      <w:numPr>
        <w:ilvl w:val="5"/>
        <w:numId w:val="4"/>
      </w:numPr>
      <w:shd w:val="pct10" w:color="auto" w:fill="auto"/>
      <w:autoSpaceDE/>
      <w:autoSpaceDN/>
      <w:adjustRightInd/>
      <w:spacing w:after="0" w:line="360" w:lineRule="auto"/>
      <w:ind w:right="1620"/>
      <w:jc w:val="center"/>
      <w:outlineLvl w:val="5"/>
    </w:pPr>
    <w:rPr>
      <w:rFonts w:eastAsia="Times New Roman" w:cs="Times New Roman"/>
      <w:b/>
      <w:color w:val="auto"/>
      <w:szCs w:val="20"/>
      <w:lang w:eastAsia="en-GB"/>
    </w:rPr>
  </w:style>
  <w:style w:type="paragraph" w:styleId="Heading7">
    <w:name w:val="heading 7"/>
    <w:basedOn w:val="Normal"/>
    <w:next w:val="Normal"/>
    <w:link w:val="Heading7Char"/>
    <w:semiHidden/>
    <w:unhideWhenUsed/>
    <w:qFormat/>
    <w:rsid w:val="00AB4059"/>
    <w:pPr>
      <w:keepNext/>
      <w:numPr>
        <w:ilvl w:val="6"/>
        <w:numId w:val="4"/>
      </w:numPr>
      <w:autoSpaceDE/>
      <w:autoSpaceDN/>
      <w:adjustRightInd/>
      <w:spacing w:after="0"/>
      <w:jc w:val="center"/>
      <w:outlineLvl w:val="6"/>
    </w:pPr>
    <w:rPr>
      <w:rFonts w:eastAsia="Times New Roman" w:cs="Times New Roman"/>
      <w:b/>
      <w:color w:val="auto"/>
      <w:szCs w:val="20"/>
      <w:lang w:eastAsia="en-GB"/>
    </w:rPr>
  </w:style>
  <w:style w:type="paragraph" w:styleId="Heading8">
    <w:name w:val="heading 8"/>
    <w:basedOn w:val="Normal"/>
    <w:next w:val="Normal"/>
    <w:link w:val="Heading8Char"/>
    <w:semiHidden/>
    <w:unhideWhenUsed/>
    <w:qFormat/>
    <w:rsid w:val="00AB4059"/>
    <w:pPr>
      <w:numPr>
        <w:ilvl w:val="7"/>
        <w:numId w:val="4"/>
      </w:numPr>
      <w:autoSpaceDE/>
      <w:autoSpaceDN/>
      <w:adjustRightInd/>
      <w:spacing w:before="240" w:after="60"/>
      <w:jc w:val="left"/>
      <w:outlineLvl w:val="7"/>
    </w:pPr>
    <w:rPr>
      <w:rFonts w:ascii="Times New Roman" w:eastAsia="Times New Roman" w:hAnsi="Times New Roman" w:cs="Times New Roman"/>
      <w:i/>
      <w:iCs/>
      <w:color w:val="auto"/>
      <w:lang w:eastAsia="en-GB"/>
    </w:rPr>
  </w:style>
  <w:style w:type="paragraph" w:styleId="Heading9">
    <w:name w:val="heading 9"/>
    <w:basedOn w:val="Normal"/>
    <w:next w:val="Normal"/>
    <w:link w:val="Heading9Char"/>
    <w:semiHidden/>
    <w:unhideWhenUsed/>
    <w:qFormat/>
    <w:rsid w:val="00AB4059"/>
    <w:pPr>
      <w:keepNext/>
      <w:numPr>
        <w:ilvl w:val="8"/>
        <w:numId w:val="4"/>
      </w:numPr>
      <w:tabs>
        <w:tab w:val="left" w:pos="4788"/>
        <w:tab w:val="left" w:pos="9576"/>
      </w:tabs>
      <w:autoSpaceDE/>
      <w:autoSpaceDN/>
      <w:adjustRightInd/>
      <w:spacing w:after="0" w:line="360" w:lineRule="auto"/>
      <w:jc w:val="left"/>
      <w:outlineLvl w:val="8"/>
    </w:pPr>
    <w:rPr>
      <w:rFonts w:eastAsia="Times New Roman" w:cs="Times New Roman"/>
      <w:b/>
      <w:i/>
      <w:snapToGrid w:val="0"/>
      <w:color w:val="aut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345FB"/>
    <w:rPr>
      <w:rFonts w:eastAsia="Times New Roman" w:cs="Helvetica-Light"/>
      <w:b/>
      <w:bCs/>
      <w:sz w:val="40"/>
      <w:szCs w:val="28"/>
    </w:rPr>
  </w:style>
  <w:style w:type="character" w:customStyle="1" w:styleId="Heading2Char">
    <w:name w:val="Heading 2 Char"/>
    <w:link w:val="Heading2"/>
    <w:rsid w:val="002345FB"/>
    <w:rPr>
      <w:rFonts w:eastAsia="Times New Roman" w:cs="Helvetica-Light"/>
      <w:b/>
      <w:bCs/>
      <w:color w:val="000000"/>
      <w:sz w:val="32"/>
      <w:szCs w:val="26"/>
    </w:rPr>
  </w:style>
  <w:style w:type="character" w:customStyle="1" w:styleId="Heading3Char">
    <w:name w:val="Heading 3 Char"/>
    <w:link w:val="Heading3"/>
    <w:rsid w:val="002345FB"/>
    <w:rPr>
      <w:rFonts w:eastAsia="Times New Roman"/>
      <w:b/>
      <w:bCs/>
      <w:i/>
      <w:sz w:val="28"/>
      <w:szCs w:val="28"/>
      <w:lang w:eastAsia="en-US"/>
    </w:rPr>
  </w:style>
  <w:style w:type="character" w:customStyle="1" w:styleId="Heading4Char">
    <w:name w:val="Heading 4 Char"/>
    <w:link w:val="Heading4"/>
    <w:rsid w:val="002345FB"/>
    <w:rPr>
      <w:rFonts w:eastAsia="Times New Roman" w:cs="Arial"/>
      <w:b/>
      <w:bCs/>
      <w:sz w:val="22"/>
      <w:szCs w:val="22"/>
    </w:rPr>
  </w:style>
  <w:style w:type="character" w:customStyle="1" w:styleId="Heading5Char">
    <w:name w:val="Heading 5 Char"/>
    <w:link w:val="Heading5"/>
    <w:semiHidden/>
    <w:rsid w:val="0001341B"/>
    <w:rPr>
      <w:rFonts w:eastAsia="Times New Roman" w:cs="Arial"/>
      <w:b/>
      <w:bCs/>
      <w:i/>
      <w:iCs/>
      <w:sz w:val="26"/>
      <w:szCs w:val="26"/>
    </w:rPr>
  </w:style>
  <w:style w:type="character" w:customStyle="1" w:styleId="Heading6Char">
    <w:name w:val="Heading 6 Char"/>
    <w:link w:val="Heading6"/>
    <w:semiHidden/>
    <w:rsid w:val="0001341B"/>
    <w:rPr>
      <w:rFonts w:eastAsia="Times New Roman"/>
      <w:b/>
      <w:sz w:val="24"/>
      <w:shd w:val="pct10" w:color="auto" w:fill="auto"/>
    </w:rPr>
  </w:style>
  <w:style w:type="character" w:customStyle="1" w:styleId="Heading7Char">
    <w:name w:val="Heading 7 Char"/>
    <w:link w:val="Heading7"/>
    <w:semiHidden/>
    <w:rsid w:val="0001341B"/>
    <w:rPr>
      <w:rFonts w:eastAsia="Times New Roman"/>
      <w:b/>
      <w:sz w:val="24"/>
    </w:rPr>
  </w:style>
  <w:style w:type="character" w:customStyle="1" w:styleId="Heading8Char">
    <w:name w:val="Heading 8 Char"/>
    <w:link w:val="Heading8"/>
    <w:semiHidden/>
    <w:rsid w:val="0001341B"/>
    <w:rPr>
      <w:rFonts w:ascii="Times New Roman" w:eastAsia="Times New Roman" w:hAnsi="Times New Roman"/>
      <w:i/>
      <w:iCs/>
      <w:sz w:val="24"/>
      <w:szCs w:val="24"/>
    </w:rPr>
  </w:style>
  <w:style w:type="character" w:customStyle="1" w:styleId="Heading9Char">
    <w:name w:val="Heading 9 Char"/>
    <w:link w:val="Heading9"/>
    <w:semiHidden/>
    <w:rsid w:val="0001341B"/>
    <w:rPr>
      <w:rFonts w:eastAsia="Times New Roman"/>
      <w:b/>
      <w:i/>
      <w:snapToGrid w:val="0"/>
      <w:sz w:val="24"/>
      <w:lang w:eastAsia="en-US"/>
    </w:rPr>
  </w:style>
  <w:style w:type="paragraph" w:styleId="Header">
    <w:name w:val="header"/>
    <w:basedOn w:val="Normal"/>
    <w:link w:val="HeaderChar"/>
    <w:uiPriority w:val="2"/>
    <w:rsid w:val="00846AEA"/>
    <w:pPr>
      <w:tabs>
        <w:tab w:val="center" w:pos="4320"/>
        <w:tab w:val="right" w:pos="8640"/>
      </w:tabs>
      <w:spacing w:after="0"/>
    </w:pPr>
    <w:rPr>
      <w:color w:val="FFFFFF"/>
      <w:sz w:val="22"/>
      <w:szCs w:val="22"/>
    </w:rPr>
  </w:style>
  <w:style w:type="character" w:customStyle="1" w:styleId="HeaderChar">
    <w:name w:val="Header Char"/>
    <w:link w:val="Header"/>
    <w:uiPriority w:val="2"/>
    <w:rsid w:val="009028CB"/>
    <w:rPr>
      <w:rFonts w:eastAsia="Calibri" w:cs="Helvetica-Light"/>
      <w:color w:val="FFFFFF"/>
      <w:lang w:eastAsia="en-US"/>
    </w:rPr>
  </w:style>
  <w:style w:type="paragraph" w:styleId="Footer">
    <w:name w:val="footer"/>
    <w:basedOn w:val="Normal"/>
    <w:link w:val="FooterChar"/>
    <w:uiPriority w:val="99"/>
    <w:rsid w:val="00846AEA"/>
    <w:pPr>
      <w:spacing w:after="0"/>
      <w:jc w:val="center"/>
    </w:pPr>
    <w:rPr>
      <w:sz w:val="22"/>
      <w:szCs w:val="22"/>
    </w:rPr>
  </w:style>
  <w:style w:type="character" w:customStyle="1" w:styleId="FooterChar">
    <w:name w:val="Footer Char"/>
    <w:link w:val="Footer"/>
    <w:uiPriority w:val="99"/>
    <w:rsid w:val="002345FB"/>
    <w:rPr>
      <w:rFonts w:eastAsia="Calibri" w:cs="Helvetica-Light"/>
      <w:color w:val="000000"/>
      <w:lang w:eastAsia="en-US"/>
    </w:rPr>
  </w:style>
  <w:style w:type="paragraph" w:styleId="ListParagraph">
    <w:name w:val="List Paragraph"/>
    <w:basedOn w:val="Normal"/>
    <w:uiPriority w:val="34"/>
    <w:unhideWhenUsed/>
    <w:qFormat/>
    <w:rsid w:val="006573DF"/>
    <w:pPr>
      <w:ind w:left="720"/>
      <w:contextualSpacing/>
    </w:pPr>
  </w:style>
  <w:style w:type="paragraph" w:styleId="Title">
    <w:name w:val="Title"/>
    <w:basedOn w:val="Normal"/>
    <w:next w:val="Normal"/>
    <w:link w:val="TitleChar"/>
    <w:qFormat/>
    <w:rsid w:val="00846AEA"/>
    <w:pPr>
      <w:spacing w:after="240"/>
      <w:contextualSpacing/>
    </w:pPr>
    <w:rPr>
      <w:rFonts w:ascii="Corbel" w:eastAsia="Times New Roman" w:hAnsi="Corbel"/>
      <w:color w:val="auto"/>
      <w:spacing w:val="5"/>
      <w:kern w:val="28"/>
      <w:sz w:val="80"/>
      <w:szCs w:val="80"/>
    </w:rPr>
  </w:style>
  <w:style w:type="character" w:customStyle="1" w:styleId="TitleChar">
    <w:name w:val="Title Char"/>
    <w:link w:val="Title"/>
    <w:rsid w:val="002345FB"/>
    <w:rPr>
      <w:rFonts w:ascii="Corbel" w:eastAsia="Times New Roman" w:hAnsi="Corbel" w:cs="Helvetica-Light"/>
      <w:spacing w:val="5"/>
      <w:kern w:val="28"/>
      <w:sz w:val="80"/>
      <w:szCs w:val="80"/>
      <w:lang w:eastAsia="en-US"/>
    </w:rPr>
  </w:style>
  <w:style w:type="paragraph" w:styleId="BodyText2">
    <w:name w:val="Body Text 2"/>
    <w:basedOn w:val="Normal"/>
    <w:link w:val="BodyText2Char"/>
    <w:semiHidden/>
    <w:unhideWhenUsed/>
    <w:rsid w:val="000E00B0"/>
    <w:pPr>
      <w:spacing w:line="480" w:lineRule="auto"/>
    </w:pPr>
  </w:style>
  <w:style w:type="character" w:customStyle="1" w:styleId="BodyText2Char">
    <w:name w:val="Body Text 2 Char"/>
    <w:link w:val="BodyText2"/>
    <w:semiHidden/>
    <w:rsid w:val="0001341B"/>
    <w:rPr>
      <w:rFonts w:eastAsia="Calibri" w:cs="Helvetica-Light"/>
      <w:color w:val="000000"/>
      <w:sz w:val="24"/>
      <w:szCs w:val="24"/>
      <w:lang w:eastAsia="en-US"/>
    </w:rPr>
  </w:style>
  <w:style w:type="character" w:styleId="PageNumber">
    <w:name w:val="page number"/>
    <w:uiPriority w:val="2"/>
    <w:rsid w:val="000701AB"/>
    <w:rPr>
      <w:rFonts w:cs="Times New Roman"/>
    </w:rPr>
  </w:style>
  <w:style w:type="table" w:styleId="TableGrid">
    <w:name w:val="Table Grid"/>
    <w:basedOn w:val="TableNormal"/>
    <w:rsid w:val="00EA4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rsid w:val="007F158D"/>
    <w:pPr>
      <w:numPr>
        <w:numId w:val="1"/>
      </w:numPr>
      <w:ind w:hanging="357"/>
    </w:pPr>
    <w:rPr>
      <w:rFonts w:cs="Arial"/>
      <w:lang w:eastAsia="en-GB"/>
    </w:rPr>
  </w:style>
  <w:style w:type="paragraph" w:customStyle="1" w:styleId="Footnote">
    <w:name w:val="Footnote"/>
    <w:basedOn w:val="FootnoteText"/>
    <w:uiPriority w:val="2"/>
    <w:qFormat/>
    <w:rsid w:val="00EA41E9"/>
    <w:pPr>
      <w:ind w:left="284" w:hanging="284"/>
    </w:pPr>
  </w:style>
  <w:style w:type="paragraph" w:styleId="FootnoteText">
    <w:name w:val="footnote text"/>
    <w:basedOn w:val="Normal"/>
    <w:link w:val="FootnoteTextChar"/>
    <w:uiPriority w:val="2"/>
    <w:rsid w:val="00EA41E9"/>
    <w:pPr>
      <w:spacing w:after="0"/>
    </w:pPr>
    <w:rPr>
      <w:sz w:val="20"/>
      <w:szCs w:val="20"/>
    </w:rPr>
  </w:style>
  <w:style w:type="character" w:customStyle="1" w:styleId="FootnoteTextChar">
    <w:name w:val="Footnote Text Char"/>
    <w:link w:val="FootnoteText"/>
    <w:uiPriority w:val="2"/>
    <w:rsid w:val="009028CB"/>
    <w:rPr>
      <w:rFonts w:eastAsia="Calibri" w:cs="Helvetica-Light"/>
      <w:color w:val="000000"/>
      <w:sz w:val="20"/>
      <w:szCs w:val="20"/>
      <w:lang w:eastAsia="en-US"/>
    </w:rPr>
  </w:style>
  <w:style w:type="paragraph" w:customStyle="1" w:styleId="TableSource">
    <w:name w:val="Table Source"/>
    <w:basedOn w:val="Normal"/>
    <w:uiPriority w:val="1"/>
    <w:qFormat/>
    <w:rsid w:val="000E00B0"/>
    <w:pPr>
      <w:spacing w:before="60"/>
    </w:pPr>
    <w:rPr>
      <w:i/>
      <w:sz w:val="18"/>
      <w:szCs w:val="18"/>
    </w:rPr>
  </w:style>
  <w:style w:type="paragraph" w:customStyle="1" w:styleId="TableTitle">
    <w:name w:val="Table Title"/>
    <w:basedOn w:val="Normal"/>
    <w:uiPriority w:val="1"/>
    <w:qFormat/>
    <w:rsid w:val="000E00B0"/>
    <w:pPr>
      <w:spacing w:before="60"/>
    </w:pPr>
    <w:rPr>
      <w:b/>
      <w:sz w:val="28"/>
      <w:szCs w:val="28"/>
    </w:rPr>
  </w:style>
  <w:style w:type="paragraph" w:styleId="TOC2">
    <w:name w:val="toc 2"/>
    <w:basedOn w:val="TOC3"/>
    <w:next w:val="Normal"/>
    <w:uiPriority w:val="39"/>
    <w:qFormat/>
    <w:rsid w:val="007468E3"/>
    <w:pPr>
      <w:ind w:left="720"/>
      <w:outlineLvl w:val="0"/>
    </w:pPr>
    <w:rPr>
      <w:i w:val="0"/>
    </w:rPr>
  </w:style>
  <w:style w:type="paragraph" w:styleId="TOC3">
    <w:name w:val="toc 3"/>
    <w:next w:val="Normal"/>
    <w:uiPriority w:val="39"/>
    <w:qFormat/>
    <w:rsid w:val="007468E3"/>
    <w:pPr>
      <w:tabs>
        <w:tab w:val="right" w:leader="dot" w:pos="10490"/>
      </w:tabs>
      <w:ind w:left="1440"/>
    </w:pPr>
    <w:rPr>
      <w:rFonts w:cs="Arial"/>
      <w:i/>
      <w:noProof/>
      <w:color w:val="000000"/>
      <w:sz w:val="24"/>
      <w:szCs w:val="24"/>
      <w:lang w:eastAsia="en-US"/>
    </w:rPr>
  </w:style>
  <w:style w:type="paragraph" w:styleId="TOC1">
    <w:name w:val="toc 1"/>
    <w:basedOn w:val="Normal"/>
    <w:next w:val="Normal"/>
    <w:uiPriority w:val="39"/>
    <w:qFormat/>
    <w:rsid w:val="007468E3"/>
    <w:pPr>
      <w:tabs>
        <w:tab w:val="right" w:leader="dot" w:pos="10490"/>
      </w:tabs>
      <w:spacing w:before="120"/>
      <w:outlineLvl w:val="0"/>
    </w:pPr>
    <w:rPr>
      <w:b/>
      <w:bCs/>
      <w:noProof/>
      <w:szCs w:val="20"/>
    </w:rPr>
  </w:style>
  <w:style w:type="character" w:styleId="Hyperlink">
    <w:name w:val="Hyperlink"/>
    <w:uiPriority w:val="99"/>
    <w:unhideWhenUsed/>
    <w:rsid w:val="006C4F7E"/>
    <w:rPr>
      <w:rFonts w:cs="Arial"/>
      <w:color w:val="0000FF"/>
      <w:u w:val="single"/>
    </w:rPr>
  </w:style>
  <w:style w:type="paragraph" w:styleId="TOC4">
    <w:name w:val="toc 4"/>
    <w:basedOn w:val="Normal"/>
    <w:next w:val="Normal"/>
    <w:autoRedefine/>
    <w:uiPriority w:val="39"/>
    <w:semiHidden/>
    <w:unhideWhenUsed/>
    <w:rsid w:val="00E33FA3"/>
    <w:pPr>
      <w:ind w:left="720"/>
    </w:pPr>
  </w:style>
  <w:style w:type="paragraph" w:customStyle="1" w:styleId="Title2">
    <w:name w:val="Title 2"/>
    <w:basedOn w:val="Heading2"/>
    <w:link w:val="Title2Char"/>
    <w:uiPriority w:val="1"/>
    <w:qFormat/>
    <w:rsid w:val="00846AEA"/>
    <w:rPr>
      <w:sz w:val="40"/>
      <w:szCs w:val="40"/>
    </w:rPr>
  </w:style>
  <w:style w:type="character" w:customStyle="1" w:styleId="Title2Char">
    <w:name w:val="Title 2 Char"/>
    <w:link w:val="Title2"/>
    <w:uiPriority w:val="1"/>
    <w:rsid w:val="002345FB"/>
    <w:rPr>
      <w:rFonts w:eastAsia="Times New Roman" w:cs="Helvetica-Light"/>
      <w:b/>
      <w:bCs/>
      <w:color w:val="000000"/>
      <w:sz w:val="40"/>
      <w:szCs w:val="40"/>
    </w:rPr>
  </w:style>
  <w:style w:type="paragraph" w:customStyle="1" w:styleId="anchor">
    <w:name w:val="anchor"/>
    <w:basedOn w:val="Normal"/>
    <w:qFormat/>
    <w:rsid w:val="00DB368D"/>
    <w:pPr>
      <w:spacing w:after="0"/>
      <w:jc w:val="left"/>
    </w:pPr>
    <w:rPr>
      <w:b/>
      <w:color w:val="FF0000"/>
      <w:sz w:val="2"/>
      <w:szCs w:val="2"/>
    </w:rPr>
  </w:style>
  <w:style w:type="character" w:styleId="FootnoteReference">
    <w:name w:val="footnote reference"/>
    <w:uiPriority w:val="2"/>
    <w:rsid w:val="00AB4059"/>
    <w:rPr>
      <w:vertAlign w:val="superscript"/>
    </w:rPr>
  </w:style>
  <w:style w:type="character" w:styleId="FollowedHyperlink">
    <w:name w:val="FollowedHyperlink"/>
    <w:uiPriority w:val="99"/>
    <w:semiHidden/>
    <w:unhideWhenUsed/>
    <w:rsid w:val="00AB4059"/>
    <w:rPr>
      <w:color w:val="800080"/>
      <w:u w:val="single"/>
    </w:rPr>
  </w:style>
  <w:style w:type="paragraph" w:styleId="BodyTextIndent">
    <w:name w:val="Body Text Indent"/>
    <w:basedOn w:val="Normal"/>
    <w:link w:val="BodyTextIndentChar"/>
    <w:rsid w:val="009028CB"/>
    <w:pPr>
      <w:autoSpaceDE/>
      <w:autoSpaceDN/>
      <w:adjustRightInd/>
      <w:spacing w:after="240"/>
      <w:ind w:left="426"/>
    </w:pPr>
    <w:rPr>
      <w:rFonts w:eastAsia="Times New Roman" w:cs="Times New Roman"/>
      <w:color w:val="auto"/>
      <w:szCs w:val="20"/>
      <w:lang w:eastAsia="en-GB"/>
    </w:rPr>
  </w:style>
  <w:style w:type="character" w:customStyle="1" w:styleId="BodyTextIndentChar">
    <w:name w:val="Body Text Indent Char"/>
    <w:link w:val="BodyTextIndent"/>
    <w:rsid w:val="009028CB"/>
    <w:rPr>
      <w:rFonts w:eastAsia="Times New Roman"/>
      <w:sz w:val="24"/>
      <w:szCs w:val="20"/>
    </w:rPr>
  </w:style>
  <w:style w:type="character" w:customStyle="1" w:styleId="CommentTextChar">
    <w:name w:val="Comment Text Char"/>
    <w:link w:val="CommentText"/>
    <w:uiPriority w:val="99"/>
    <w:rsid w:val="002345FB"/>
    <w:rPr>
      <w:rFonts w:eastAsia="Times New Roman" w:cs="Arial"/>
      <w:sz w:val="20"/>
      <w:szCs w:val="20"/>
    </w:rPr>
  </w:style>
  <w:style w:type="paragraph" w:styleId="CommentText">
    <w:name w:val="annotation text"/>
    <w:basedOn w:val="Normal"/>
    <w:link w:val="CommentTextChar"/>
    <w:uiPriority w:val="99"/>
    <w:rsid w:val="00AB4059"/>
    <w:pPr>
      <w:autoSpaceDE/>
      <w:autoSpaceDN/>
      <w:adjustRightInd/>
      <w:spacing w:after="0"/>
      <w:jc w:val="left"/>
    </w:pPr>
    <w:rPr>
      <w:rFonts w:eastAsia="Times New Roman" w:cs="Arial"/>
      <w:color w:val="auto"/>
      <w:sz w:val="20"/>
      <w:szCs w:val="20"/>
      <w:lang w:eastAsia="en-GB"/>
    </w:rPr>
  </w:style>
  <w:style w:type="character" w:customStyle="1" w:styleId="CommentTextChar1">
    <w:name w:val="Comment Text Char1"/>
    <w:uiPriority w:val="99"/>
    <w:semiHidden/>
    <w:rsid w:val="00AB4059"/>
    <w:rPr>
      <w:rFonts w:ascii="Arial" w:eastAsia="Calibri" w:hAnsi="Arial" w:cs="Helvetica-Light"/>
      <w:color w:val="000000"/>
      <w:lang w:eastAsia="en-US"/>
    </w:rPr>
  </w:style>
  <w:style w:type="character" w:customStyle="1" w:styleId="CommentSubjectChar1">
    <w:name w:val="Comment Subject Char1"/>
    <w:uiPriority w:val="99"/>
    <w:semiHidden/>
    <w:rsid w:val="00AB4059"/>
    <w:rPr>
      <w:rFonts w:ascii="Arial" w:eastAsia="Calibri" w:hAnsi="Arial" w:cs="Helvetica-Light"/>
      <w:b/>
      <w:bCs/>
      <w:color w:val="000000"/>
      <w:lang w:eastAsia="en-US"/>
    </w:rPr>
  </w:style>
  <w:style w:type="paragraph" w:customStyle="1" w:styleId="TableHeadingText">
    <w:name w:val="Table Heading Text"/>
    <w:basedOn w:val="Normal"/>
    <w:uiPriority w:val="1"/>
    <w:rsid w:val="00AB4059"/>
    <w:pPr>
      <w:autoSpaceDE/>
      <w:autoSpaceDN/>
      <w:adjustRightInd/>
      <w:spacing w:before="20" w:after="20"/>
      <w:jc w:val="left"/>
    </w:pPr>
    <w:rPr>
      <w:rFonts w:eastAsia="Times New Roman" w:cs="Arial"/>
      <w:b/>
      <w:color w:val="auto"/>
      <w:sz w:val="18"/>
      <w:szCs w:val="20"/>
    </w:rPr>
  </w:style>
  <w:style w:type="paragraph" w:customStyle="1" w:styleId="TableTextLeft">
    <w:name w:val="Table Text Left"/>
    <w:basedOn w:val="Normal"/>
    <w:semiHidden/>
    <w:unhideWhenUsed/>
    <w:rsid w:val="00AB4059"/>
    <w:pPr>
      <w:autoSpaceDE/>
      <w:autoSpaceDN/>
      <w:adjustRightInd/>
      <w:spacing w:before="20" w:after="20"/>
      <w:jc w:val="left"/>
    </w:pPr>
    <w:rPr>
      <w:rFonts w:eastAsia="Times New Roman" w:cs="Arial"/>
      <w:color w:val="auto"/>
      <w:sz w:val="18"/>
      <w:szCs w:val="18"/>
    </w:rPr>
  </w:style>
  <w:style w:type="paragraph" w:customStyle="1" w:styleId="TableTextRight">
    <w:name w:val="Table Text Right"/>
    <w:basedOn w:val="TableTextLeft"/>
    <w:uiPriority w:val="1"/>
    <w:unhideWhenUsed/>
    <w:qFormat/>
    <w:rsid w:val="00971041"/>
    <w:pPr>
      <w:jc w:val="right"/>
    </w:pPr>
    <w:rPr>
      <w:sz w:val="22"/>
    </w:rPr>
  </w:style>
  <w:style w:type="paragraph" w:customStyle="1" w:styleId="TableHeadingTextRight">
    <w:name w:val="Table Heading Text Right"/>
    <w:basedOn w:val="TableHeadingText"/>
    <w:uiPriority w:val="1"/>
    <w:qFormat/>
    <w:rsid w:val="00AB4059"/>
    <w:pPr>
      <w:jc w:val="right"/>
    </w:pPr>
  </w:style>
  <w:style w:type="paragraph" w:customStyle="1" w:styleId="TableText">
    <w:name w:val="Table Text"/>
    <w:basedOn w:val="Normal"/>
    <w:uiPriority w:val="1"/>
    <w:rsid w:val="00AB4059"/>
    <w:pPr>
      <w:autoSpaceDE/>
      <w:autoSpaceDN/>
      <w:adjustRightInd/>
      <w:spacing w:before="40" w:after="40"/>
      <w:jc w:val="left"/>
    </w:pPr>
    <w:rPr>
      <w:rFonts w:eastAsia="Times New Roman" w:cs="Arial"/>
      <w:color w:val="auto"/>
      <w:sz w:val="20"/>
      <w:szCs w:val="20"/>
    </w:rPr>
  </w:style>
  <w:style w:type="paragraph" w:customStyle="1" w:styleId="Heading2-numbered">
    <w:name w:val="Heading 2 - numbered"/>
    <w:qFormat/>
    <w:rsid w:val="00AB4059"/>
    <w:pPr>
      <w:numPr>
        <w:numId w:val="2"/>
      </w:numPr>
      <w:tabs>
        <w:tab w:val="left" w:pos="567"/>
      </w:tabs>
      <w:spacing w:before="200" w:after="120"/>
      <w:ind w:left="567" w:hanging="567"/>
    </w:pPr>
    <w:rPr>
      <w:rFonts w:eastAsia="Times New Roman"/>
      <w:b/>
      <w:bCs/>
      <w:sz w:val="28"/>
      <w:szCs w:val="26"/>
      <w:lang w:eastAsia="en-US"/>
    </w:rPr>
  </w:style>
  <w:style w:type="paragraph" w:customStyle="1" w:styleId="Normal-indent">
    <w:name w:val="Normal - indent"/>
    <w:basedOn w:val="Normal"/>
    <w:uiPriority w:val="2"/>
    <w:qFormat/>
    <w:rsid w:val="00AB4059"/>
    <w:pPr>
      <w:ind w:left="360"/>
    </w:pPr>
  </w:style>
  <w:style w:type="paragraph" w:customStyle="1" w:styleId="Bullet-indent">
    <w:name w:val="Bullet - indent"/>
    <w:basedOn w:val="Bullet"/>
    <w:qFormat/>
    <w:rsid w:val="00A07590"/>
    <w:pPr>
      <w:numPr>
        <w:ilvl w:val="1"/>
      </w:numPr>
    </w:pPr>
  </w:style>
  <w:style w:type="paragraph" w:customStyle="1" w:styleId="Heading3-indent">
    <w:name w:val="Heading 3 - indent"/>
    <w:basedOn w:val="Heading3"/>
    <w:qFormat/>
    <w:rsid w:val="00AB4059"/>
    <w:pPr>
      <w:spacing w:before="200"/>
      <w:ind w:left="360"/>
    </w:pPr>
    <w:rPr>
      <w:i w:val="0"/>
      <w:sz w:val="24"/>
      <w:szCs w:val="24"/>
    </w:rPr>
  </w:style>
  <w:style w:type="paragraph" w:styleId="Bibliography">
    <w:name w:val="Bibliography"/>
    <w:basedOn w:val="Normal"/>
    <w:next w:val="Normal"/>
    <w:uiPriority w:val="37"/>
    <w:semiHidden/>
    <w:unhideWhenUsed/>
    <w:rsid w:val="00AB4059"/>
  </w:style>
  <w:style w:type="paragraph" w:styleId="BodyTextFirstIndent">
    <w:name w:val="Body Text First Indent"/>
    <w:basedOn w:val="Normal"/>
    <w:link w:val="BodyTextFirstIndentChar"/>
    <w:uiPriority w:val="99"/>
    <w:rsid w:val="00A0563B"/>
    <w:pPr>
      <w:ind w:firstLine="210"/>
    </w:pPr>
  </w:style>
  <w:style w:type="character" w:customStyle="1" w:styleId="BodyTextFirstIndentChar">
    <w:name w:val="Body Text First Indent Char"/>
    <w:link w:val="BodyTextFirstIndent"/>
    <w:uiPriority w:val="99"/>
    <w:rsid w:val="002345FB"/>
    <w:rPr>
      <w:rFonts w:eastAsia="Calibri" w:cs="Helvetica-Light"/>
      <w:color w:val="000000"/>
      <w:sz w:val="24"/>
      <w:szCs w:val="24"/>
      <w:lang w:eastAsia="en-US"/>
    </w:rPr>
  </w:style>
  <w:style w:type="paragraph" w:styleId="BodyTextFirstIndent2">
    <w:name w:val="Body Text First Indent 2"/>
    <w:basedOn w:val="BodyTextIndent"/>
    <w:link w:val="BodyTextFirstIndent2Char"/>
    <w:uiPriority w:val="99"/>
    <w:rsid w:val="00AB4059"/>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link w:val="BodyTextFirstIndent2"/>
    <w:uiPriority w:val="99"/>
    <w:rsid w:val="002345FB"/>
    <w:rPr>
      <w:rFonts w:eastAsia="Calibri" w:cs="Helvetica-Light"/>
      <w:color w:val="000000"/>
      <w:sz w:val="24"/>
      <w:szCs w:val="24"/>
      <w:lang w:eastAsia="en-US"/>
    </w:rPr>
  </w:style>
  <w:style w:type="paragraph" w:styleId="Caption">
    <w:name w:val="caption"/>
    <w:basedOn w:val="Normal"/>
    <w:next w:val="Normal"/>
    <w:uiPriority w:val="35"/>
    <w:unhideWhenUsed/>
    <w:qFormat/>
    <w:rsid w:val="00AB4059"/>
    <w:rPr>
      <w:b/>
      <w:bCs/>
      <w:sz w:val="20"/>
      <w:szCs w:val="20"/>
    </w:rPr>
  </w:style>
  <w:style w:type="paragraph" w:styleId="Closing">
    <w:name w:val="Closing"/>
    <w:basedOn w:val="Normal"/>
    <w:link w:val="ClosingChar"/>
    <w:uiPriority w:val="99"/>
    <w:rsid w:val="00AB4059"/>
    <w:pPr>
      <w:ind w:left="4252"/>
    </w:pPr>
  </w:style>
  <w:style w:type="character" w:customStyle="1" w:styleId="ClosingChar">
    <w:name w:val="Closing Char"/>
    <w:link w:val="Closing"/>
    <w:uiPriority w:val="99"/>
    <w:rsid w:val="002345FB"/>
    <w:rPr>
      <w:rFonts w:eastAsia="Calibri" w:cs="Helvetica-Light"/>
      <w:color w:val="000000"/>
      <w:sz w:val="24"/>
      <w:szCs w:val="24"/>
      <w:lang w:eastAsia="en-US"/>
    </w:rPr>
  </w:style>
  <w:style w:type="paragraph" w:styleId="Date">
    <w:name w:val="Date"/>
    <w:basedOn w:val="Normal"/>
    <w:next w:val="Normal"/>
    <w:link w:val="DateChar"/>
    <w:uiPriority w:val="99"/>
    <w:rsid w:val="00AB4059"/>
  </w:style>
  <w:style w:type="character" w:customStyle="1" w:styleId="DateChar">
    <w:name w:val="Date Char"/>
    <w:link w:val="Date"/>
    <w:uiPriority w:val="99"/>
    <w:rsid w:val="002345FB"/>
    <w:rPr>
      <w:rFonts w:eastAsia="Calibri" w:cs="Helvetica-Light"/>
      <w:color w:val="000000"/>
      <w:sz w:val="24"/>
      <w:szCs w:val="24"/>
      <w:lang w:eastAsia="en-US"/>
    </w:rPr>
  </w:style>
  <w:style w:type="paragraph" w:styleId="EndnoteText">
    <w:name w:val="endnote text"/>
    <w:basedOn w:val="Normal"/>
    <w:link w:val="EndnoteTextChar"/>
    <w:uiPriority w:val="99"/>
    <w:rsid w:val="00AB4059"/>
    <w:rPr>
      <w:sz w:val="20"/>
      <w:szCs w:val="20"/>
    </w:rPr>
  </w:style>
  <w:style w:type="character" w:customStyle="1" w:styleId="EndnoteTextChar">
    <w:name w:val="Endnote Text Char"/>
    <w:link w:val="EndnoteText"/>
    <w:uiPriority w:val="99"/>
    <w:rsid w:val="002345FB"/>
    <w:rPr>
      <w:rFonts w:eastAsia="Calibri" w:cs="Helvetica-Light"/>
      <w:color w:val="000000"/>
      <w:sz w:val="20"/>
      <w:szCs w:val="20"/>
      <w:lang w:eastAsia="en-US"/>
    </w:rPr>
  </w:style>
  <w:style w:type="paragraph" w:styleId="HTMLPreformatted">
    <w:name w:val="HTML Preformatted"/>
    <w:basedOn w:val="Normal"/>
    <w:link w:val="HTMLPreformattedChar"/>
    <w:uiPriority w:val="99"/>
    <w:semiHidden/>
    <w:unhideWhenUsed/>
    <w:rsid w:val="00AB4059"/>
    <w:rPr>
      <w:rFonts w:ascii="Courier New" w:hAnsi="Courier New" w:cs="Courier New"/>
      <w:sz w:val="20"/>
      <w:szCs w:val="20"/>
    </w:rPr>
  </w:style>
  <w:style w:type="character" w:customStyle="1" w:styleId="HTMLPreformattedChar">
    <w:name w:val="HTML Preformatted Char"/>
    <w:link w:val="HTMLPreformatted"/>
    <w:uiPriority w:val="99"/>
    <w:semiHidden/>
    <w:rsid w:val="0001341B"/>
    <w:rPr>
      <w:rFonts w:ascii="Courier New" w:eastAsia="Calibri" w:hAnsi="Courier New" w:cs="Courier New"/>
      <w:color w:val="000000"/>
      <w:sz w:val="20"/>
      <w:szCs w:val="20"/>
      <w:lang w:eastAsia="en-US"/>
    </w:rPr>
  </w:style>
  <w:style w:type="paragraph" w:styleId="Index7">
    <w:name w:val="index 7"/>
    <w:basedOn w:val="Normal"/>
    <w:next w:val="Normal"/>
    <w:autoRedefine/>
    <w:uiPriority w:val="99"/>
    <w:semiHidden/>
    <w:unhideWhenUsed/>
    <w:rsid w:val="00AB4059"/>
    <w:pPr>
      <w:ind w:left="1680" w:hanging="240"/>
    </w:pPr>
  </w:style>
  <w:style w:type="paragraph" w:styleId="Index8">
    <w:name w:val="index 8"/>
    <w:basedOn w:val="Normal"/>
    <w:next w:val="Normal"/>
    <w:autoRedefine/>
    <w:uiPriority w:val="99"/>
    <w:semiHidden/>
    <w:unhideWhenUsed/>
    <w:rsid w:val="00AB4059"/>
    <w:pPr>
      <w:ind w:left="1920" w:hanging="240"/>
    </w:pPr>
  </w:style>
  <w:style w:type="paragraph" w:styleId="Index9">
    <w:name w:val="index 9"/>
    <w:basedOn w:val="Normal"/>
    <w:next w:val="Normal"/>
    <w:autoRedefine/>
    <w:uiPriority w:val="99"/>
    <w:semiHidden/>
    <w:unhideWhenUsed/>
    <w:rsid w:val="00AB4059"/>
    <w:pPr>
      <w:ind w:left="2160" w:hanging="240"/>
    </w:pPr>
  </w:style>
  <w:style w:type="paragraph" w:styleId="IndexHeading">
    <w:name w:val="index heading"/>
    <w:basedOn w:val="Normal"/>
    <w:next w:val="Normal"/>
    <w:uiPriority w:val="99"/>
    <w:semiHidden/>
    <w:unhideWhenUsed/>
    <w:rsid w:val="00AB4059"/>
    <w:rPr>
      <w:rFonts w:ascii="Cambria" w:eastAsia="Times New Roman" w:hAnsi="Cambria" w:cs="Times New Roman"/>
      <w:b/>
      <w:bCs/>
    </w:rPr>
  </w:style>
  <w:style w:type="paragraph" w:styleId="NormalIndent">
    <w:name w:val="Normal Indent"/>
    <w:basedOn w:val="Normal"/>
    <w:uiPriority w:val="99"/>
    <w:semiHidden/>
    <w:unhideWhenUsed/>
    <w:rsid w:val="00AB4059"/>
    <w:pPr>
      <w:ind w:left="720"/>
    </w:pPr>
  </w:style>
  <w:style w:type="paragraph" w:styleId="Quote">
    <w:name w:val="Quote"/>
    <w:basedOn w:val="Normal"/>
    <w:next w:val="Normal"/>
    <w:link w:val="QuoteChar"/>
    <w:uiPriority w:val="29"/>
    <w:qFormat/>
    <w:rsid w:val="009028CB"/>
    <w:pPr>
      <w:ind w:left="567" w:right="515"/>
    </w:pPr>
    <w:rPr>
      <w:i/>
      <w:iCs/>
    </w:rPr>
  </w:style>
  <w:style w:type="character" w:customStyle="1" w:styleId="QuoteChar">
    <w:name w:val="Quote Char"/>
    <w:link w:val="Quote"/>
    <w:uiPriority w:val="29"/>
    <w:rsid w:val="009028CB"/>
    <w:rPr>
      <w:rFonts w:eastAsia="Calibri" w:cs="Helvetica-Light"/>
      <w:i/>
      <w:iCs/>
      <w:color w:val="000000"/>
      <w:sz w:val="24"/>
      <w:szCs w:val="24"/>
      <w:lang w:eastAsia="en-US"/>
    </w:rPr>
  </w:style>
  <w:style w:type="paragraph" w:styleId="TOC5">
    <w:name w:val="toc 5"/>
    <w:basedOn w:val="Normal"/>
    <w:next w:val="Normal"/>
    <w:autoRedefine/>
    <w:uiPriority w:val="39"/>
    <w:semiHidden/>
    <w:unhideWhenUsed/>
    <w:rsid w:val="00AB4059"/>
    <w:pPr>
      <w:ind w:left="960"/>
    </w:pPr>
  </w:style>
  <w:style w:type="paragraph" w:styleId="TOC6">
    <w:name w:val="toc 6"/>
    <w:basedOn w:val="Normal"/>
    <w:next w:val="Normal"/>
    <w:autoRedefine/>
    <w:uiPriority w:val="39"/>
    <w:semiHidden/>
    <w:unhideWhenUsed/>
    <w:rsid w:val="00AB4059"/>
    <w:pPr>
      <w:ind w:left="1200"/>
    </w:pPr>
  </w:style>
  <w:style w:type="paragraph" w:styleId="TOC7">
    <w:name w:val="toc 7"/>
    <w:basedOn w:val="Normal"/>
    <w:next w:val="Normal"/>
    <w:autoRedefine/>
    <w:uiPriority w:val="39"/>
    <w:semiHidden/>
    <w:unhideWhenUsed/>
    <w:rsid w:val="00AB4059"/>
    <w:pPr>
      <w:ind w:left="1440"/>
    </w:pPr>
  </w:style>
  <w:style w:type="paragraph" w:styleId="TOC8">
    <w:name w:val="toc 8"/>
    <w:basedOn w:val="Normal"/>
    <w:next w:val="Normal"/>
    <w:autoRedefine/>
    <w:uiPriority w:val="39"/>
    <w:semiHidden/>
    <w:unhideWhenUsed/>
    <w:rsid w:val="00AB4059"/>
    <w:pPr>
      <w:ind w:left="1680"/>
    </w:pPr>
  </w:style>
  <w:style w:type="paragraph" w:styleId="TOC9">
    <w:name w:val="toc 9"/>
    <w:basedOn w:val="Normal"/>
    <w:next w:val="Normal"/>
    <w:autoRedefine/>
    <w:uiPriority w:val="39"/>
    <w:semiHidden/>
    <w:unhideWhenUsed/>
    <w:rsid w:val="00AB4059"/>
    <w:pPr>
      <w:ind w:left="1920"/>
    </w:pPr>
  </w:style>
  <w:style w:type="character" w:styleId="EndnoteReference">
    <w:name w:val="endnote reference"/>
    <w:uiPriority w:val="99"/>
    <w:rsid w:val="001873E0"/>
    <w:rPr>
      <w:vertAlign w:val="superscript"/>
    </w:rPr>
  </w:style>
  <w:style w:type="paragraph" w:styleId="Revision">
    <w:name w:val="Revision"/>
    <w:hidden/>
    <w:uiPriority w:val="99"/>
    <w:semiHidden/>
    <w:rsid w:val="00AB4059"/>
    <w:rPr>
      <w:rFonts w:eastAsia="Times New Roman" w:cs="Arial"/>
      <w:sz w:val="24"/>
      <w:szCs w:val="24"/>
    </w:rPr>
  </w:style>
  <w:style w:type="table" w:styleId="TableList4">
    <w:name w:val="Table List 4"/>
    <w:basedOn w:val="TableNormal"/>
    <w:rsid w:val="00AB405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qFormat/>
    <w:rsid w:val="003350AF"/>
    <w:pPr>
      <w:numPr>
        <w:numId w:val="3"/>
      </w:numPr>
      <w:tabs>
        <w:tab w:val="left" w:pos="426"/>
      </w:tabs>
      <w:ind w:left="426" w:hanging="426"/>
    </w:pPr>
    <w:rPr>
      <w:rFonts w:cs="Arial"/>
    </w:rPr>
  </w:style>
  <w:style w:type="paragraph" w:customStyle="1" w:styleId="TOCHeader">
    <w:name w:val="TOC Header"/>
    <w:basedOn w:val="TableTitle"/>
    <w:qFormat/>
    <w:rsid w:val="00BD6097"/>
  </w:style>
  <w:style w:type="paragraph" w:customStyle="1" w:styleId="Instructiontext">
    <w:name w:val="Instruction text"/>
    <w:basedOn w:val="Normal"/>
    <w:uiPriority w:val="2"/>
    <w:qFormat/>
    <w:rsid w:val="009028CB"/>
    <w:pPr>
      <w:spacing w:after="0"/>
    </w:pPr>
    <w:rPr>
      <w:rFonts w:eastAsia="Times New Roman"/>
      <w:i/>
      <w:color w:val="FF0000"/>
      <w:sz w:val="22"/>
      <w:szCs w:val="22"/>
      <w:lang w:eastAsia="en-GB"/>
    </w:rPr>
  </w:style>
  <w:style w:type="paragraph" w:styleId="BodyText">
    <w:name w:val="Body Text"/>
    <w:basedOn w:val="Normal"/>
    <w:link w:val="BodyTextChar"/>
    <w:rsid w:val="009028CB"/>
    <w:pPr>
      <w:spacing w:before="140" w:after="140"/>
    </w:pPr>
    <w:rPr>
      <w:rFonts w:eastAsia="Times New Roman"/>
      <w:color w:val="auto"/>
      <w:lang w:eastAsia="en-GB"/>
    </w:rPr>
  </w:style>
  <w:style w:type="character" w:customStyle="1" w:styleId="BodyTextChar">
    <w:name w:val="Body Text Char"/>
    <w:link w:val="BodyText"/>
    <w:rsid w:val="009028CB"/>
    <w:rPr>
      <w:rFonts w:eastAsia="Times New Roman" w:cs="Helvetica-Light"/>
      <w:sz w:val="24"/>
      <w:szCs w:val="24"/>
    </w:rPr>
  </w:style>
  <w:style w:type="paragraph" w:styleId="BalloonText">
    <w:name w:val="Balloon Text"/>
    <w:basedOn w:val="Normal"/>
    <w:link w:val="BalloonTextChar"/>
    <w:uiPriority w:val="99"/>
    <w:semiHidden/>
    <w:unhideWhenUsed/>
    <w:rsid w:val="005546BD"/>
    <w:pPr>
      <w:spacing w:after="0"/>
    </w:pPr>
    <w:rPr>
      <w:rFonts w:ascii="Tahoma" w:hAnsi="Tahoma" w:cs="Tahoma"/>
      <w:sz w:val="16"/>
      <w:szCs w:val="16"/>
    </w:rPr>
  </w:style>
  <w:style w:type="character" w:customStyle="1" w:styleId="BalloonTextChar">
    <w:name w:val="Balloon Text Char"/>
    <w:link w:val="BalloonText"/>
    <w:uiPriority w:val="99"/>
    <w:semiHidden/>
    <w:rsid w:val="005546BD"/>
    <w:rPr>
      <w:rFonts w:ascii="Tahoma" w:eastAsia="Calibri" w:hAnsi="Tahoma" w:cs="Tahoma"/>
      <w:color w:val="000000"/>
      <w:sz w:val="16"/>
      <w:szCs w:val="16"/>
      <w:lang w:eastAsia="en-US"/>
    </w:rPr>
  </w:style>
  <w:style w:type="paragraph" w:customStyle="1" w:styleId="BodyText1">
    <w:name w:val="Body Text 1"/>
    <w:basedOn w:val="Normal"/>
    <w:link w:val="BodyText1Char"/>
    <w:qFormat/>
    <w:rsid w:val="001553A9"/>
    <w:pPr>
      <w:autoSpaceDE/>
      <w:autoSpaceDN/>
      <w:adjustRightInd/>
      <w:spacing w:before="60"/>
      <w:jc w:val="left"/>
    </w:pPr>
    <w:rPr>
      <w:rFonts w:eastAsia="Cambria" w:cs="Times New Roman"/>
      <w:szCs w:val="28"/>
    </w:rPr>
  </w:style>
  <w:style w:type="character" w:customStyle="1" w:styleId="BodyText1Char">
    <w:name w:val="Body Text 1 Char"/>
    <w:basedOn w:val="DefaultParagraphFont"/>
    <w:link w:val="BodyText1"/>
    <w:rsid w:val="001553A9"/>
    <w:rPr>
      <w:color w:val="000000"/>
      <w:sz w:val="24"/>
      <w:szCs w:val="28"/>
      <w:lang w:eastAsia="en-US"/>
    </w:rPr>
  </w:style>
  <w:style w:type="paragraph" w:customStyle="1" w:styleId="xl65">
    <w:name w:val="xl65"/>
    <w:basedOn w:val="Normal"/>
    <w:rsid w:val="00CF5C05"/>
    <w:pPr>
      <w:autoSpaceDE/>
      <w:autoSpaceDN/>
      <w:adjustRightInd/>
      <w:spacing w:before="100" w:beforeAutospacing="1" w:after="100" w:afterAutospacing="1"/>
      <w:jc w:val="left"/>
    </w:pPr>
    <w:rPr>
      <w:rFonts w:ascii="Times New Roman" w:eastAsia="Times New Roman" w:hAnsi="Times New Roman" w:cs="Times New Roman"/>
      <w:color w:val="auto"/>
      <w:lang w:eastAsia="en-GB"/>
    </w:rPr>
  </w:style>
  <w:style w:type="paragraph" w:customStyle="1" w:styleId="xl66">
    <w:name w:val="xl66"/>
    <w:basedOn w:val="Normal"/>
    <w:rsid w:val="00CF5C05"/>
    <w:pPr>
      <w:autoSpaceDE/>
      <w:autoSpaceDN/>
      <w:adjustRightInd/>
      <w:spacing w:before="100" w:beforeAutospacing="1" w:after="100" w:afterAutospacing="1"/>
      <w:ind w:firstLineChars="100" w:firstLine="100"/>
      <w:jc w:val="left"/>
    </w:pPr>
    <w:rPr>
      <w:rFonts w:ascii="Times New Roman" w:eastAsia="Times New Roman" w:hAnsi="Times New Roman" w:cs="Times New Roman"/>
      <w:color w:val="auto"/>
      <w:lang w:eastAsia="en-GB"/>
    </w:rPr>
  </w:style>
  <w:style w:type="paragraph" w:customStyle="1" w:styleId="xl67">
    <w:name w:val="xl67"/>
    <w:basedOn w:val="Normal"/>
    <w:rsid w:val="00CF5C05"/>
    <w:pPr>
      <w:autoSpaceDE/>
      <w:autoSpaceDN/>
      <w:adjustRightInd/>
      <w:spacing w:before="100" w:beforeAutospacing="1" w:after="100" w:afterAutospacing="1"/>
      <w:ind w:firstLineChars="200" w:firstLine="200"/>
      <w:jc w:val="left"/>
    </w:pPr>
    <w:rPr>
      <w:rFonts w:ascii="Times New Roman" w:eastAsia="Times New Roman" w:hAnsi="Times New Roman" w:cs="Times New Roman"/>
      <w:color w:val="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lancashire.gov.uk/lancashire-insight" TargetMode="Externa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orpData02\OCE\OCERestrictedPermissions\Business%20Intelligence\Corporate%20strategy%20and%20performance\Hospital%20statistics\DToC\DToC%20monthly%20reports\business.information@lancashire.gov.uk" TargetMode="External"/><Relationship Id="rId24" Type="http://schemas.openxmlformats.org/officeDocument/2006/relationships/chart" Target="charts/chart12.xml"/><Relationship Id="rId32" Type="http://schemas.openxmlformats.org/officeDocument/2006/relationships/chart" Target="charts/chart20.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theme" Target="theme/theme1.xml"/><Relationship Id="rId10" Type="http://schemas.openxmlformats.org/officeDocument/2006/relationships/hyperlink" Target="https://www.england.nhs.uk/statistics/statistical-work-areas/delayed-transfers-of-care/" TargetMode="External"/><Relationship Id="rId19" Type="http://schemas.openxmlformats.org/officeDocument/2006/relationships/chart" Target="charts/chart7.xml"/><Relationship Id="rId31" Type="http://schemas.openxmlformats.org/officeDocument/2006/relationships/chart" Target="charts/chart1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odd002\Downloads\Full%20Report%20Template%20(2).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Lancashire DToC Total Delayed Days 2015/16 to 2018/19</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'prev yr comparisons'!$A$48</c:f>
              <c:strCache>
                <c:ptCount val="1"/>
                <c:pt idx="0">
                  <c:v>2015/16</c:v>
                </c:pt>
              </c:strCache>
            </c:strRef>
          </c:tx>
          <c:spPr>
            <a:solidFill>
              <a:schemeClr val="accent1"/>
            </a:solidFill>
            <a:ln>
              <a:noFill/>
            </a:ln>
            <a:effectLst/>
          </c:spPr>
          <c:invertIfNegative val="0"/>
          <c:cat>
            <c:strRef>
              <c:f>'prev yr comparisons'!$B$46:$M$46</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'prev yr comparisons'!$B$48:$M$48</c:f>
              <c:numCache>
                <c:formatCode>General</c:formatCode>
                <c:ptCount val="12"/>
                <c:pt idx="0">
                  <c:v>2698</c:v>
                </c:pt>
                <c:pt idx="1">
                  <c:v>3043</c:v>
                </c:pt>
                <c:pt idx="2">
                  <c:v>3598</c:v>
                </c:pt>
                <c:pt idx="3">
                  <c:v>3854</c:v>
                </c:pt>
                <c:pt idx="4">
                  <c:v>3939</c:v>
                </c:pt>
                <c:pt idx="5">
                  <c:v>3943</c:v>
                </c:pt>
                <c:pt idx="6">
                  <c:v>3823</c:v>
                </c:pt>
                <c:pt idx="7">
                  <c:v>3293</c:v>
                </c:pt>
                <c:pt idx="8">
                  <c:v>4093</c:v>
                </c:pt>
                <c:pt idx="9">
                  <c:v>3440</c:v>
                </c:pt>
                <c:pt idx="10">
                  <c:v>3732</c:v>
                </c:pt>
                <c:pt idx="11">
                  <c:v>4617</c:v>
                </c:pt>
              </c:numCache>
            </c:numRef>
          </c:val>
        </c:ser>
        <c:ser>
          <c:idx val="1"/>
          <c:order val="1"/>
          <c:tx>
            <c:strRef>
              <c:f>'prev yr comparisons'!$A$49</c:f>
              <c:strCache>
                <c:ptCount val="1"/>
                <c:pt idx="0">
                  <c:v>2016/17</c:v>
                </c:pt>
              </c:strCache>
            </c:strRef>
          </c:tx>
          <c:spPr>
            <a:solidFill>
              <a:schemeClr val="accent2"/>
            </a:solidFill>
            <a:ln>
              <a:noFill/>
            </a:ln>
            <a:effectLst/>
          </c:spPr>
          <c:invertIfNegative val="0"/>
          <c:cat>
            <c:strRef>
              <c:f>'prev yr comparisons'!$B$46:$M$46</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'prev yr comparisons'!$B$49:$M$49</c:f>
              <c:numCache>
                <c:formatCode>General</c:formatCode>
                <c:ptCount val="12"/>
                <c:pt idx="0">
                  <c:v>4105</c:v>
                </c:pt>
                <c:pt idx="1">
                  <c:v>3707</c:v>
                </c:pt>
                <c:pt idx="2">
                  <c:v>3553</c:v>
                </c:pt>
                <c:pt idx="3">
                  <c:v>3577</c:v>
                </c:pt>
                <c:pt idx="4">
                  <c:v>4024</c:v>
                </c:pt>
                <c:pt idx="5">
                  <c:v>4958</c:v>
                </c:pt>
                <c:pt idx="6">
                  <c:v>4701</c:v>
                </c:pt>
                <c:pt idx="7">
                  <c:v>4475</c:v>
                </c:pt>
                <c:pt idx="8">
                  <c:v>5006</c:v>
                </c:pt>
                <c:pt idx="9">
                  <c:v>4911</c:v>
                </c:pt>
                <c:pt idx="10">
                  <c:v>4055</c:v>
                </c:pt>
                <c:pt idx="11">
                  <c:v>4565</c:v>
                </c:pt>
              </c:numCache>
            </c:numRef>
          </c:val>
        </c:ser>
        <c:ser>
          <c:idx val="2"/>
          <c:order val="2"/>
          <c:tx>
            <c:strRef>
              <c:f>'prev yr comparisons'!$A$50</c:f>
              <c:strCache>
                <c:ptCount val="1"/>
                <c:pt idx="0">
                  <c:v>2017/18</c:v>
                </c:pt>
              </c:strCache>
            </c:strRef>
          </c:tx>
          <c:spPr>
            <a:solidFill>
              <a:schemeClr val="accent3"/>
            </a:solidFill>
            <a:ln>
              <a:noFill/>
            </a:ln>
            <a:effectLst/>
          </c:spPr>
          <c:invertIfNegative val="0"/>
          <c:cat>
            <c:strRef>
              <c:f>'prev yr comparisons'!$B$46:$M$46</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'prev yr comparisons'!$B$50:$M$50</c:f>
              <c:numCache>
                <c:formatCode>General</c:formatCode>
                <c:ptCount val="12"/>
                <c:pt idx="0">
                  <c:v>4609</c:v>
                </c:pt>
                <c:pt idx="1">
                  <c:v>4798</c:v>
                </c:pt>
                <c:pt idx="2">
                  <c:v>4643</c:v>
                </c:pt>
                <c:pt idx="3">
                  <c:v>4897</c:v>
                </c:pt>
                <c:pt idx="4">
                  <c:v>4383</c:v>
                </c:pt>
                <c:pt idx="5">
                  <c:v>4511</c:v>
                </c:pt>
                <c:pt idx="6">
                  <c:v>4709</c:v>
                </c:pt>
                <c:pt idx="7">
                  <c:v>4547</c:v>
                </c:pt>
                <c:pt idx="8">
                  <c:v>3903</c:v>
                </c:pt>
                <c:pt idx="9">
                  <c:v>3479</c:v>
                </c:pt>
                <c:pt idx="10">
                  <c:v>3405</c:v>
                </c:pt>
                <c:pt idx="11">
                  <c:v>3715</c:v>
                </c:pt>
              </c:numCache>
            </c:numRef>
          </c:val>
        </c:ser>
        <c:ser>
          <c:idx val="3"/>
          <c:order val="3"/>
          <c:tx>
            <c:strRef>
              <c:f>'prev yr comparisons'!$A$51</c:f>
              <c:strCache>
                <c:ptCount val="1"/>
                <c:pt idx="0">
                  <c:v>2018/19</c:v>
                </c:pt>
              </c:strCache>
            </c:strRef>
          </c:tx>
          <c:spPr>
            <a:solidFill>
              <a:schemeClr val="accent4"/>
            </a:solidFill>
            <a:ln>
              <a:noFill/>
            </a:ln>
            <a:effectLst/>
          </c:spPr>
          <c:invertIfNegative val="0"/>
          <c:cat>
            <c:strRef>
              <c:f>'prev yr comparisons'!$B$46:$M$46</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'prev yr comparisons'!$B$51:$M$51</c:f>
              <c:numCache>
                <c:formatCode>General</c:formatCode>
                <c:ptCount val="12"/>
                <c:pt idx="0">
                  <c:v>3423</c:v>
                </c:pt>
                <c:pt idx="1">
                  <c:v>3156</c:v>
                </c:pt>
                <c:pt idx="2">
                  <c:v>2758</c:v>
                </c:pt>
                <c:pt idx="3">
                  <c:v>2897</c:v>
                </c:pt>
                <c:pt idx="4">
                  <c:v>2984</c:v>
                </c:pt>
              </c:numCache>
            </c:numRef>
          </c:val>
        </c:ser>
        <c:dLbls>
          <c:showLegendKey val="0"/>
          <c:showVal val="0"/>
          <c:showCatName val="0"/>
          <c:showSerName val="0"/>
          <c:showPercent val="0"/>
          <c:showBubbleSize val="0"/>
        </c:dLbls>
        <c:gapWidth val="219"/>
        <c:overlap val="-27"/>
        <c:axId val="196119976"/>
        <c:axId val="342487920"/>
      </c:barChart>
      <c:catAx>
        <c:axId val="196119976"/>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487920"/>
        <c:crosses val="autoZero"/>
        <c:auto val="1"/>
        <c:lblAlgn val="ctr"/>
        <c:lblOffset val="100"/>
        <c:noMultiLvlLbl val="0"/>
      </c:catAx>
      <c:valAx>
        <c:axId val="342487920"/>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119976"/>
        <c:crosses val="autoZero"/>
        <c:crossBetween val="between"/>
      </c:valAx>
      <c:dTable>
        <c:showHorzBorder val="1"/>
        <c:showVertBorder val="1"/>
        <c:showOutline val="1"/>
        <c:showKeys val="1"/>
        <c:spPr>
          <a:noFill/>
          <a:ln w="9525">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a:solidFill>
        <a:schemeClr val="tx1"/>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[DTOC 2016_17 to 2018_19 revised1.xlsx]comparators (2)!PivotTable2</c:name>
    <c:fmtId val="861"/>
  </c:pivotSource>
  <c:chart>
    <c:title>
      <c:tx>
        <c:rich>
          <a:bodyPr/>
          <a:lstStyle/>
          <a:p>
            <a:pPr>
              <a:defRPr/>
            </a:pPr>
            <a:r>
              <a:rPr lang="en-GB" sz="1200" b="1" i="0" baseline="0">
                <a:effectLst/>
              </a:rPr>
              <a:t>Aug-18 acute/non-acute delayed days by provider - Lancashire </a:t>
            </a:r>
            <a:endParaRPr lang="en-GB" sz="1200">
              <a:effectLst/>
            </a:endParaRPr>
          </a:p>
        </c:rich>
      </c:tx>
      <c:layout>
        <c:manualLayout>
          <c:xMode val="edge"/>
          <c:yMode val="edge"/>
          <c:x val="0.17212825392391362"/>
          <c:y val="2.3626603401171259E-2"/>
        </c:manualLayout>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pivotFmt>
      <c:pivotFmt>
        <c:idx val="61"/>
        <c:marker>
          <c:symbol val="none"/>
        </c:marker>
      </c:pivotFmt>
      <c:pivotFmt>
        <c:idx val="62"/>
        <c:marker>
          <c:symbol val="none"/>
        </c:marker>
      </c:pivotFmt>
      <c:pivotFmt>
        <c:idx val="63"/>
        <c:marker>
          <c:symbol val="none"/>
        </c:marker>
      </c:pivotFmt>
      <c:pivotFmt>
        <c:idx val="64"/>
        <c:marker>
          <c:symbol val="none"/>
        </c:marker>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pivotFmt>
      <c:pivotFmt>
        <c:idx val="76"/>
        <c:marker>
          <c:symbol val="none"/>
        </c:marker>
      </c:pivotFmt>
      <c:pivotFmt>
        <c:idx val="77"/>
        <c:marker>
          <c:symbol val="none"/>
        </c:marker>
      </c:pivotFmt>
      <c:pivotFmt>
        <c:idx val="78"/>
        <c:marker>
          <c:symbol val="none"/>
        </c:marker>
      </c:pivotFmt>
      <c:pivotFmt>
        <c:idx val="79"/>
        <c:marker>
          <c:symbol val="none"/>
        </c:marker>
      </c:pivotFmt>
      <c:pivotFmt>
        <c:idx val="80"/>
        <c:marker>
          <c:symbol val="none"/>
        </c:marker>
      </c:pivotFmt>
      <c:pivotFmt>
        <c:idx val="81"/>
        <c:marker>
          <c:symbol val="none"/>
        </c:marker>
      </c:pivotFmt>
      <c:pivotFmt>
        <c:idx val="82"/>
        <c:marker>
          <c:symbol val="none"/>
        </c:marker>
      </c:pivotFmt>
      <c:pivotFmt>
        <c:idx val="83"/>
        <c:marker>
          <c:symbol val="none"/>
        </c:marker>
      </c:pivotFmt>
      <c:pivotFmt>
        <c:idx val="84"/>
        <c:marker>
          <c:symbol val="none"/>
        </c:marker>
      </c:pivotFmt>
      <c:pivotFmt>
        <c:idx val="85"/>
        <c:marker>
          <c:symbol val="none"/>
        </c:marker>
      </c:pivotFmt>
      <c:pivotFmt>
        <c:idx val="86"/>
        <c:marker>
          <c:symbol val="none"/>
        </c:marker>
      </c:pivotFmt>
      <c:pivotFmt>
        <c:idx val="87"/>
        <c:marker>
          <c:symbol val="none"/>
        </c:marker>
      </c:pivotFmt>
      <c:pivotFmt>
        <c:idx val="88"/>
        <c:marker>
          <c:symbol val="none"/>
        </c:marker>
      </c:pivotFmt>
      <c:pivotFmt>
        <c:idx val="89"/>
        <c:marker>
          <c:symbol val="none"/>
        </c:marker>
      </c:pivotFmt>
      <c:pivotFmt>
        <c:idx val="90"/>
        <c:marker>
          <c:symbol val="none"/>
        </c:marker>
      </c:pivotFmt>
      <c:pivotFmt>
        <c:idx val="91"/>
        <c:marker>
          <c:symbol val="none"/>
        </c:marker>
      </c:pivotFmt>
      <c:pivotFmt>
        <c:idx val="92"/>
        <c:marker>
          <c:symbol val="none"/>
        </c:marker>
      </c:pivotFmt>
      <c:pivotFmt>
        <c:idx val="93"/>
        <c:marker>
          <c:symbol val="none"/>
        </c:marker>
      </c:pivotFmt>
      <c:pivotFmt>
        <c:idx val="94"/>
        <c:marker>
          <c:symbol val="none"/>
        </c:marker>
      </c:pivotFmt>
      <c:pivotFmt>
        <c:idx val="95"/>
        <c:marker>
          <c:symbol val="none"/>
        </c:marker>
      </c:pivotFmt>
      <c:pivotFmt>
        <c:idx val="96"/>
        <c:marker>
          <c:symbol val="none"/>
        </c:marker>
      </c:pivotFmt>
      <c:pivotFmt>
        <c:idx val="97"/>
        <c:marker>
          <c:symbol val="none"/>
        </c:marker>
      </c:pivotFmt>
      <c:pivotFmt>
        <c:idx val="98"/>
        <c:marker>
          <c:symbol val="none"/>
        </c:marker>
      </c:pivotFmt>
      <c:pivotFmt>
        <c:idx val="99"/>
        <c:marker>
          <c:symbol val="none"/>
        </c:marker>
      </c:pivotFmt>
      <c:pivotFmt>
        <c:idx val="100"/>
        <c:marker>
          <c:symbol val="none"/>
        </c:marker>
      </c:pivotFmt>
      <c:pivotFmt>
        <c:idx val="101"/>
      </c:pivotFmt>
      <c:pivotFmt>
        <c:idx val="102"/>
        <c:marker>
          <c:symbol val="none"/>
        </c:marker>
      </c:pivotFmt>
      <c:pivotFmt>
        <c:idx val="103"/>
        <c:marker>
          <c:symbol val="none"/>
        </c:marker>
      </c:pivotFmt>
      <c:pivotFmt>
        <c:idx val="104"/>
        <c:marker>
          <c:symbol val="none"/>
        </c:marker>
      </c:pivotFmt>
      <c:pivotFmt>
        <c:idx val="105"/>
      </c:pivotFmt>
      <c:pivotFmt>
        <c:idx val="106"/>
      </c:pivotFmt>
      <c:pivotFmt>
        <c:idx val="107"/>
      </c:pivotFmt>
      <c:pivotFmt>
        <c:idx val="108"/>
      </c:pivotFmt>
      <c:pivotFmt>
        <c:idx val="109"/>
      </c:pivotFmt>
      <c:pivotFmt>
        <c:idx val="110"/>
      </c:pivotFmt>
      <c:pivotFmt>
        <c:idx val="111"/>
      </c:pivotFmt>
      <c:pivotFmt>
        <c:idx val="112"/>
      </c:pivotFmt>
      <c:pivotFmt>
        <c:idx val="113"/>
      </c:pivotFmt>
      <c:pivotFmt>
        <c:idx val="114"/>
      </c:pivotFmt>
      <c:pivotFmt>
        <c:idx val="115"/>
      </c:pivotFmt>
      <c:pivotFmt>
        <c:idx val="116"/>
      </c:pivotFmt>
      <c:pivotFmt>
        <c:idx val="117"/>
      </c:pivotFmt>
      <c:pivotFmt>
        <c:idx val="118"/>
      </c:pivotFmt>
      <c:pivotFmt>
        <c:idx val="119"/>
      </c:pivotFmt>
      <c:pivotFmt>
        <c:idx val="120"/>
      </c:pivotFmt>
      <c:pivotFmt>
        <c:idx val="121"/>
      </c:pivotFmt>
      <c:pivotFmt>
        <c:idx val="122"/>
      </c:pivotFmt>
      <c:pivotFmt>
        <c:idx val="123"/>
        <c:marker>
          <c:symbol val="none"/>
        </c:marker>
      </c:pivotFmt>
      <c:pivotFmt>
        <c:idx val="124"/>
        <c:marker>
          <c:symbol val="none"/>
        </c:marker>
      </c:pivotFmt>
      <c:pivotFmt>
        <c:idx val="125"/>
        <c:marker>
          <c:symbol val="none"/>
        </c:marker>
      </c:pivotFmt>
      <c:pivotFmt>
        <c:idx val="126"/>
        <c:marker>
          <c:symbol val="none"/>
        </c:marker>
      </c:pivotFmt>
      <c:pivotFmt>
        <c:idx val="127"/>
        <c:marker>
          <c:symbol val="none"/>
        </c:marker>
      </c:pivotFmt>
      <c:pivotFmt>
        <c:idx val="128"/>
        <c:marker>
          <c:symbol val="none"/>
        </c:marker>
      </c:pivotFmt>
      <c:pivotFmt>
        <c:idx val="129"/>
        <c:marker>
          <c:symbol val="none"/>
        </c:marker>
      </c:pivotFmt>
      <c:pivotFmt>
        <c:idx val="130"/>
        <c:marker>
          <c:symbol val="none"/>
        </c:marker>
      </c:pivotFmt>
      <c:pivotFmt>
        <c:idx val="131"/>
        <c:marker>
          <c:symbol val="none"/>
        </c:marker>
      </c:pivotFmt>
      <c:pivotFmt>
        <c:idx val="132"/>
        <c:marker>
          <c:symbol val="none"/>
        </c:marker>
      </c:pivotFmt>
      <c:pivotFmt>
        <c:idx val="133"/>
        <c:marker>
          <c:symbol val="none"/>
        </c:marker>
      </c:pivotFmt>
      <c:pivotFmt>
        <c:idx val="134"/>
        <c:marker>
          <c:symbol val="none"/>
        </c:marker>
      </c:pivotFmt>
      <c:pivotFmt>
        <c:idx val="135"/>
        <c:marker>
          <c:symbol val="none"/>
        </c:marker>
      </c:pivotFmt>
      <c:pivotFmt>
        <c:idx val="136"/>
        <c:marker>
          <c:symbol val="none"/>
        </c:marker>
      </c:pivotFmt>
      <c:pivotFmt>
        <c:idx val="137"/>
        <c:marker>
          <c:symbol val="none"/>
        </c:marker>
      </c:pivotFmt>
      <c:pivotFmt>
        <c:idx val="138"/>
        <c:marker>
          <c:symbol val="none"/>
        </c:marker>
      </c:pivotFmt>
      <c:pivotFmt>
        <c:idx val="139"/>
        <c:marker>
          <c:symbol val="none"/>
        </c:marker>
      </c:pivotFmt>
      <c:pivotFmt>
        <c:idx val="140"/>
        <c:marker>
          <c:symbol val="none"/>
        </c:marker>
      </c:pivotFmt>
      <c:pivotFmt>
        <c:idx val="141"/>
        <c:marker>
          <c:symbol val="none"/>
        </c:marker>
      </c:pivotFmt>
      <c:pivotFmt>
        <c:idx val="142"/>
        <c:marker>
          <c:symbol val="none"/>
        </c:marker>
      </c:pivotFmt>
      <c:pivotFmt>
        <c:idx val="143"/>
        <c:marker>
          <c:symbol val="none"/>
        </c:marker>
      </c:pivotFmt>
      <c:pivotFmt>
        <c:idx val="144"/>
        <c:marker>
          <c:symbol val="none"/>
        </c:marker>
      </c:pivotFmt>
      <c:pivotFmt>
        <c:idx val="145"/>
        <c:marker>
          <c:symbol val="none"/>
        </c:marker>
      </c:pivotFmt>
      <c:pivotFmt>
        <c:idx val="146"/>
        <c:marker>
          <c:symbol val="none"/>
        </c:marker>
      </c:pivotFmt>
      <c:pivotFmt>
        <c:idx val="147"/>
        <c:marker>
          <c:symbol val="none"/>
        </c:marker>
      </c:pivotFmt>
      <c:pivotFmt>
        <c:idx val="148"/>
        <c:marker>
          <c:symbol val="none"/>
        </c:marker>
      </c:pivotFmt>
      <c:pivotFmt>
        <c:idx val="149"/>
        <c:marker>
          <c:symbol val="none"/>
        </c:marker>
      </c:pivotFmt>
      <c:pivotFmt>
        <c:idx val="150"/>
        <c:marker>
          <c:symbol val="none"/>
        </c:marker>
      </c:pivotFmt>
      <c:pivotFmt>
        <c:idx val="151"/>
        <c:marker>
          <c:symbol val="none"/>
        </c:marker>
      </c:pivotFmt>
      <c:pivotFmt>
        <c:idx val="152"/>
        <c:marker>
          <c:symbol val="none"/>
        </c:marker>
      </c:pivotFmt>
      <c:pivotFmt>
        <c:idx val="153"/>
        <c:marker>
          <c:symbol val="none"/>
        </c:marker>
      </c:pivotFmt>
      <c:pivotFmt>
        <c:idx val="154"/>
        <c:marker>
          <c:symbol val="none"/>
        </c:marker>
      </c:pivotFmt>
      <c:pivotFmt>
        <c:idx val="155"/>
        <c:marker>
          <c:symbol val="none"/>
        </c:marker>
      </c:pivotFmt>
      <c:pivotFmt>
        <c:idx val="156"/>
        <c:marker>
          <c:symbol val="none"/>
        </c:marker>
      </c:pivotFmt>
      <c:pivotFmt>
        <c:idx val="157"/>
        <c:marker>
          <c:symbol val="none"/>
        </c:marker>
      </c:pivotFmt>
      <c:pivotFmt>
        <c:idx val="158"/>
        <c:marker>
          <c:symbol val="none"/>
        </c:marker>
      </c:pivotFmt>
      <c:pivotFmt>
        <c:idx val="159"/>
        <c:marker>
          <c:symbol val="none"/>
        </c:marker>
      </c:pivotFmt>
      <c:pivotFmt>
        <c:idx val="160"/>
        <c:marker>
          <c:symbol val="none"/>
        </c:marker>
      </c:pivotFmt>
      <c:pivotFmt>
        <c:idx val="161"/>
        <c:marker>
          <c:symbol val="none"/>
        </c:marker>
      </c:pivotFmt>
      <c:pivotFmt>
        <c:idx val="162"/>
        <c:marker>
          <c:symbol val="none"/>
        </c:marker>
      </c:pivotFmt>
      <c:pivotFmt>
        <c:idx val="163"/>
        <c:marker>
          <c:symbol val="none"/>
        </c:marker>
      </c:pivotFmt>
      <c:pivotFmt>
        <c:idx val="164"/>
        <c:marker>
          <c:symbol val="none"/>
        </c:marker>
      </c:pivotFmt>
      <c:pivotFmt>
        <c:idx val="165"/>
        <c:marker>
          <c:symbol val="none"/>
        </c:marker>
      </c:pivotFmt>
      <c:pivotFmt>
        <c:idx val="166"/>
        <c:marker>
          <c:symbol val="none"/>
        </c:marker>
      </c:pivotFmt>
      <c:pivotFmt>
        <c:idx val="167"/>
        <c:marker>
          <c:symbol val="none"/>
        </c:marker>
      </c:pivotFmt>
      <c:pivotFmt>
        <c:idx val="168"/>
        <c:marker>
          <c:symbol val="none"/>
        </c:marker>
      </c:pivotFmt>
      <c:pivotFmt>
        <c:idx val="169"/>
        <c:marker>
          <c:symbol val="none"/>
        </c:marker>
      </c:pivotFmt>
      <c:pivotFmt>
        <c:idx val="170"/>
        <c:marker>
          <c:symbol val="none"/>
        </c:marker>
      </c:pivotFmt>
      <c:pivotFmt>
        <c:idx val="171"/>
        <c:marker>
          <c:symbol val="none"/>
        </c:marker>
      </c:pivotFmt>
      <c:pivotFmt>
        <c:idx val="172"/>
        <c:marker>
          <c:symbol val="none"/>
        </c:marker>
      </c:pivotFmt>
      <c:pivotFmt>
        <c:idx val="173"/>
        <c:marker>
          <c:symbol val="none"/>
        </c:marker>
      </c:pivotFmt>
      <c:pivotFmt>
        <c:idx val="174"/>
        <c:marker>
          <c:symbol val="none"/>
        </c:marker>
      </c:pivotFmt>
      <c:pivotFmt>
        <c:idx val="175"/>
        <c:marker>
          <c:symbol val="none"/>
        </c:marker>
      </c:pivotFmt>
      <c:pivotFmt>
        <c:idx val="176"/>
        <c:marker>
          <c:symbol val="none"/>
        </c:marker>
      </c:pivotFmt>
      <c:pivotFmt>
        <c:idx val="177"/>
        <c:marker>
          <c:symbol val="none"/>
        </c:marker>
      </c:pivotFmt>
      <c:pivotFmt>
        <c:idx val="178"/>
        <c:marker>
          <c:symbol val="none"/>
        </c:marker>
      </c:pivotFmt>
      <c:pivotFmt>
        <c:idx val="179"/>
        <c:marker>
          <c:symbol val="none"/>
        </c:marker>
      </c:pivotFmt>
      <c:pivotFmt>
        <c:idx val="180"/>
        <c:marker>
          <c:symbol val="none"/>
        </c:marker>
      </c:pivotFmt>
      <c:pivotFmt>
        <c:idx val="181"/>
        <c:marker>
          <c:symbol val="none"/>
        </c:marker>
      </c:pivotFmt>
      <c:pivotFmt>
        <c:idx val="182"/>
        <c:marker>
          <c:symbol val="none"/>
        </c:marker>
      </c:pivotFmt>
      <c:pivotFmt>
        <c:idx val="183"/>
        <c:marker>
          <c:symbol val="none"/>
        </c:marker>
      </c:pivotFmt>
      <c:pivotFmt>
        <c:idx val="184"/>
        <c:marker>
          <c:symbol val="none"/>
        </c:marker>
      </c:pivotFmt>
      <c:pivotFmt>
        <c:idx val="185"/>
        <c:marker>
          <c:symbol val="none"/>
        </c:marker>
      </c:pivotFmt>
      <c:pivotFmt>
        <c:idx val="186"/>
        <c:marker>
          <c:symbol val="none"/>
        </c:marker>
      </c:pivotFmt>
      <c:pivotFmt>
        <c:idx val="187"/>
        <c:marker>
          <c:symbol val="none"/>
        </c:marker>
      </c:pivotFmt>
      <c:pivotFmt>
        <c:idx val="188"/>
        <c:marker>
          <c:symbol val="none"/>
        </c:marker>
      </c:pivotFmt>
      <c:pivotFmt>
        <c:idx val="189"/>
        <c:marker>
          <c:symbol val="none"/>
        </c:marker>
      </c:pivotFmt>
      <c:pivotFmt>
        <c:idx val="190"/>
        <c:marker>
          <c:symbol val="none"/>
        </c:marker>
      </c:pivotFmt>
      <c:pivotFmt>
        <c:idx val="191"/>
        <c:marker>
          <c:symbol val="none"/>
        </c:marker>
      </c:pivotFmt>
      <c:pivotFmt>
        <c:idx val="192"/>
        <c:marker>
          <c:symbol val="none"/>
        </c:marker>
      </c:pivotFmt>
      <c:pivotFmt>
        <c:idx val="193"/>
        <c:marker>
          <c:symbol val="none"/>
        </c:marker>
      </c:pivotFmt>
      <c:pivotFmt>
        <c:idx val="194"/>
        <c:marker>
          <c:symbol val="none"/>
        </c:marker>
      </c:pivotFmt>
      <c:pivotFmt>
        <c:idx val="195"/>
        <c:marker>
          <c:symbol val="none"/>
        </c:marker>
      </c:pivotFmt>
      <c:pivotFmt>
        <c:idx val="196"/>
        <c:marker>
          <c:symbol val="none"/>
        </c:marker>
      </c:pivotFmt>
      <c:pivotFmt>
        <c:idx val="197"/>
        <c:marker>
          <c:symbol val="none"/>
        </c:marker>
      </c:pivotFmt>
      <c:pivotFmt>
        <c:idx val="198"/>
        <c:marker>
          <c:symbol val="none"/>
        </c:marker>
      </c:pivotFmt>
      <c:pivotFmt>
        <c:idx val="199"/>
        <c:marker>
          <c:symbol val="none"/>
        </c:marker>
      </c:pivotFmt>
      <c:pivotFmt>
        <c:idx val="200"/>
        <c:marker>
          <c:symbol val="none"/>
        </c:marker>
      </c:pivotFmt>
      <c:pivotFmt>
        <c:idx val="201"/>
        <c:marker>
          <c:symbol val="none"/>
        </c:marker>
      </c:pivotFmt>
      <c:pivotFmt>
        <c:idx val="202"/>
        <c:marker>
          <c:symbol val="none"/>
        </c:marker>
      </c:pivotFmt>
      <c:pivotFmt>
        <c:idx val="203"/>
        <c:marker>
          <c:symbol val="none"/>
        </c:marker>
      </c:pivotFmt>
      <c:pivotFmt>
        <c:idx val="204"/>
        <c:marker>
          <c:symbol val="none"/>
        </c:marker>
      </c:pivotFmt>
      <c:pivotFmt>
        <c:idx val="205"/>
        <c:marker>
          <c:symbol val="none"/>
        </c:marker>
      </c:pivotFmt>
      <c:pivotFmt>
        <c:idx val="206"/>
        <c:marker>
          <c:symbol val="none"/>
        </c:marker>
      </c:pivotFmt>
      <c:pivotFmt>
        <c:idx val="207"/>
        <c:marker>
          <c:symbol val="none"/>
        </c:marker>
      </c:pivotFmt>
      <c:pivotFmt>
        <c:idx val="208"/>
        <c:marker>
          <c:symbol val="none"/>
        </c:marker>
      </c:pivotFmt>
      <c:pivotFmt>
        <c:idx val="209"/>
        <c:marker>
          <c:symbol val="none"/>
        </c:marker>
      </c:pivotFmt>
      <c:pivotFmt>
        <c:idx val="210"/>
        <c:marker>
          <c:symbol val="none"/>
        </c:marker>
      </c:pivotFmt>
      <c:pivotFmt>
        <c:idx val="211"/>
        <c:marker>
          <c:symbol val="none"/>
        </c:marker>
      </c:pivotFmt>
      <c:pivotFmt>
        <c:idx val="212"/>
        <c:marker>
          <c:symbol val="none"/>
        </c:marker>
      </c:pivotFmt>
      <c:pivotFmt>
        <c:idx val="213"/>
        <c:marker>
          <c:symbol val="none"/>
        </c:marker>
      </c:pivotFmt>
      <c:pivotFmt>
        <c:idx val="214"/>
        <c:marker>
          <c:symbol val="none"/>
        </c:marker>
      </c:pivotFmt>
      <c:pivotFmt>
        <c:idx val="215"/>
        <c:marker>
          <c:symbol val="none"/>
        </c:marker>
      </c:pivotFmt>
      <c:pivotFmt>
        <c:idx val="216"/>
        <c:marker>
          <c:symbol val="none"/>
        </c:marker>
      </c:pivotFmt>
      <c:pivotFmt>
        <c:idx val="217"/>
        <c:marker>
          <c:symbol val="none"/>
        </c:marker>
      </c:pivotFmt>
      <c:pivotFmt>
        <c:idx val="218"/>
        <c:marker>
          <c:symbol val="none"/>
        </c:marker>
      </c:pivotFmt>
      <c:pivotFmt>
        <c:idx val="219"/>
        <c:marker>
          <c:symbol val="none"/>
        </c:marker>
      </c:pivotFmt>
      <c:pivotFmt>
        <c:idx val="220"/>
        <c:marker>
          <c:symbol val="none"/>
        </c:marker>
      </c:pivotFmt>
      <c:pivotFmt>
        <c:idx val="221"/>
        <c:marker>
          <c:symbol val="none"/>
        </c:marker>
      </c:pivotFmt>
      <c:pivotFmt>
        <c:idx val="222"/>
        <c:marker>
          <c:symbol val="none"/>
        </c:marker>
      </c:pivotFmt>
      <c:pivotFmt>
        <c:idx val="223"/>
        <c:marker>
          <c:symbol val="none"/>
        </c:marker>
      </c:pivotFmt>
      <c:pivotFmt>
        <c:idx val="224"/>
        <c:marker>
          <c:symbol val="none"/>
        </c:marker>
      </c:pivotFmt>
      <c:pivotFmt>
        <c:idx val="225"/>
        <c:marker>
          <c:symbol val="none"/>
        </c:marker>
      </c:pivotFmt>
      <c:pivotFmt>
        <c:idx val="226"/>
        <c:marker>
          <c:symbol val="none"/>
        </c:marker>
      </c:pivotFmt>
      <c:pivotFmt>
        <c:idx val="227"/>
        <c:marker>
          <c:symbol val="none"/>
        </c:marker>
      </c:pivotFmt>
      <c:pivotFmt>
        <c:idx val="228"/>
        <c:marker>
          <c:symbol val="none"/>
        </c:marker>
      </c:pivotFmt>
      <c:pivotFmt>
        <c:idx val="229"/>
        <c:marker>
          <c:symbol val="none"/>
        </c:marker>
      </c:pivotFmt>
      <c:pivotFmt>
        <c:idx val="230"/>
        <c:marker>
          <c:symbol val="none"/>
        </c:marker>
      </c:pivotFmt>
      <c:pivotFmt>
        <c:idx val="231"/>
        <c:marker>
          <c:symbol val="none"/>
        </c:marker>
      </c:pivotFmt>
      <c:pivotFmt>
        <c:idx val="232"/>
        <c:marker>
          <c:symbol val="none"/>
        </c:marker>
      </c:pivotFmt>
      <c:pivotFmt>
        <c:idx val="233"/>
        <c:marker>
          <c:symbol val="none"/>
        </c:marker>
      </c:pivotFmt>
      <c:pivotFmt>
        <c:idx val="234"/>
        <c:marker>
          <c:symbol val="none"/>
        </c:marker>
      </c:pivotFmt>
      <c:pivotFmt>
        <c:idx val="235"/>
        <c:marker>
          <c:symbol val="none"/>
        </c:marker>
      </c:pivotFmt>
      <c:pivotFmt>
        <c:idx val="236"/>
        <c:marker>
          <c:symbol val="none"/>
        </c:marker>
      </c:pivotFmt>
      <c:pivotFmt>
        <c:idx val="237"/>
        <c:marker>
          <c:symbol val="none"/>
        </c:marker>
      </c:pivotFmt>
      <c:pivotFmt>
        <c:idx val="238"/>
        <c:marker>
          <c:symbol val="none"/>
        </c:marker>
      </c:pivotFmt>
      <c:pivotFmt>
        <c:idx val="239"/>
        <c:marker>
          <c:symbol val="none"/>
        </c:marker>
      </c:pivotFmt>
      <c:pivotFmt>
        <c:idx val="240"/>
        <c:marker>
          <c:symbol val="none"/>
        </c:marker>
      </c:pivotFmt>
      <c:pivotFmt>
        <c:idx val="241"/>
        <c:marker>
          <c:symbol val="none"/>
        </c:marker>
      </c:pivotFmt>
      <c:pivotFmt>
        <c:idx val="242"/>
        <c:marker>
          <c:symbol val="none"/>
        </c:marker>
      </c:pivotFmt>
      <c:pivotFmt>
        <c:idx val="243"/>
        <c:marker>
          <c:symbol val="none"/>
        </c:marker>
      </c:pivotFmt>
      <c:pivotFmt>
        <c:idx val="244"/>
        <c:marker>
          <c:symbol val="none"/>
        </c:marker>
      </c:pivotFmt>
      <c:pivotFmt>
        <c:idx val="245"/>
        <c:marker>
          <c:symbol val="none"/>
        </c:marker>
      </c:pivotFmt>
      <c:pivotFmt>
        <c:idx val="246"/>
        <c:marker>
          <c:symbol val="none"/>
        </c:marker>
      </c:pivotFmt>
      <c:pivotFmt>
        <c:idx val="247"/>
        <c:marker>
          <c:symbol val="none"/>
        </c:marker>
      </c:pivotFmt>
      <c:pivotFmt>
        <c:idx val="248"/>
        <c:marker>
          <c:symbol val="none"/>
        </c:marker>
      </c:pivotFmt>
      <c:pivotFmt>
        <c:idx val="249"/>
        <c:marker>
          <c:symbol val="none"/>
        </c:marker>
      </c:pivotFmt>
      <c:pivotFmt>
        <c:idx val="250"/>
        <c:marker>
          <c:symbol val="none"/>
        </c:marker>
      </c:pivotFmt>
      <c:pivotFmt>
        <c:idx val="251"/>
        <c:marker>
          <c:symbol val="none"/>
        </c:marker>
      </c:pivotFmt>
      <c:pivotFmt>
        <c:idx val="252"/>
        <c:marker>
          <c:symbol val="none"/>
        </c:marker>
      </c:pivotFmt>
      <c:pivotFmt>
        <c:idx val="253"/>
        <c:marker>
          <c:symbol val="none"/>
        </c:marker>
      </c:pivotFmt>
      <c:pivotFmt>
        <c:idx val="254"/>
        <c:marker>
          <c:symbol val="none"/>
        </c:marker>
      </c:pivotFmt>
      <c:pivotFmt>
        <c:idx val="255"/>
        <c:marker>
          <c:symbol val="none"/>
        </c:marker>
      </c:pivotFmt>
      <c:pivotFmt>
        <c:idx val="256"/>
        <c:marker>
          <c:symbol val="none"/>
        </c:marker>
      </c:pivotFmt>
      <c:pivotFmt>
        <c:idx val="257"/>
        <c:marker>
          <c:symbol val="none"/>
        </c:marker>
      </c:pivotFmt>
      <c:pivotFmt>
        <c:idx val="258"/>
        <c:marker>
          <c:symbol val="none"/>
        </c:marker>
      </c:pivotFmt>
      <c:pivotFmt>
        <c:idx val="259"/>
        <c:marker>
          <c:symbol val="none"/>
        </c:marker>
      </c:pivotFmt>
      <c:pivotFmt>
        <c:idx val="260"/>
        <c:marker>
          <c:symbol val="none"/>
        </c:marker>
      </c:pivotFmt>
      <c:pivotFmt>
        <c:idx val="261"/>
        <c:marker>
          <c:symbol val="none"/>
        </c:marker>
      </c:pivotFmt>
      <c:pivotFmt>
        <c:idx val="262"/>
        <c:marker>
          <c:symbol val="none"/>
        </c:marker>
      </c:pivotFmt>
      <c:pivotFmt>
        <c:idx val="263"/>
        <c:marker>
          <c:symbol val="none"/>
        </c:marker>
      </c:pivotFmt>
      <c:pivotFmt>
        <c:idx val="264"/>
        <c:marker>
          <c:symbol val="none"/>
        </c:marker>
      </c:pivotFmt>
      <c:pivotFmt>
        <c:idx val="265"/>
        <c:marker>
          <c:symbol val="none"/>
        </c:marker>
      </c:pivotFmt>
      <c:pivotFmt>
        <c:idx val="266"/>
        <c:marker>
          <c:symbol val="none"/>
        </c:marker>
      </c:pivotFmt>
      <c:pivotFmt>
        <c:idx val="267"/>
        <c:marker>
          <c:symbol val="none"/>
        </c:marker>
      </c:pivotFmt>
      <c:pivotFmt>
        <c:idx val="268"/>
        <c:marker>
          <c:symbol val="none"/>
        </c:marker>
      </c:pivotFmt>
      <c:pivotFmt>
        <c:idx val="269"/>
        <c:marker>
          <c:symbol val="none"/>
        </c:marker>
      </c:pivotFmt>
      <c:pivotFmt>
        <c:idx val="270"/>
        <c:marker>
          <c:symbol val="none"/>
        </c:marker>
      </c:pivotFmt>
      <c:pivotFmt>
        <c:idx val="271"/>
        <c:marker>
          <c:symbol val="none"/>
        </c:marker>
      </c:pivotFmt>
      <c:pivotFmt>
        <c:idx val="272"/>
        <c:marker>
          <c:symbol val="none"/>
        </c:marker>
      </c:pivotFmt>
      <c:pivotFmt>
        <c:idx val="273"/>
        <c:marker>
          <c:symbol val="none"/>
        </c:marker>
      </c:pivotFmt>
      <c:pivotFmt>
        <c:idx val="274"/>
        <c:marker>
          <c:symbol val="none"/>
        </c:marker>
      </c:pivotFmt>
      <c:pivotFmt>
        <c:idx val="275"/>
        <c:marker>
          <c:symbol val="none"/>
        </c:marker>
      </c:pivotFmt>
      <c:pivotFmt>
        <c:idx val="276"/>
        <c:marker>
          <c:symbol val="none"/>
        </c:marker>
      </c:pivotFmt>
      <c:pivotFmt>
        <c:idx val="277"/>
        <c:marker>
          <c:symbol val="none"/>
        </c:marker>
      </c:pivotFmt>
      <c:pivotFmt>
        <c:idx val="278"/>
        <c:marker>
          <c:symbol val="none"/>
        </c:marker>
      </c:pivotFmt>
      <c:pivotFmt>
        <c:idx val="279"/>
        <c:marker>
          <c:symbol val="none"/>
        </c:marker>
      </c:pivotFmt>
      <c:pivotFmt>
        <c:idx val="280"/>
        <c:marker>
          <c:symbol val="none"/>
        </c:marker>
      </c:pivotFmt>
      <c:pivotFmt>
        <c:idx val="281"/>
        <c:marker>
          <c:symbol val="none"/>
        </c:marker>
      </c:pivotFmt>
      <c:pivotFmt>
        <c:idx val="282"/>
        <c:marker>
          <c:symbol val="none"/>
        </c:marker>
      </c:pivotFmt>
      <c:pivotFmt>
        <c:idx val="283"/>
        <c:marker>
          <c:symbol val="none"/>
        </c:marker>
      </c:pivotFmt>
      <c:pivotFmt>
        <c:idx val="284"/>
        <c:marker>
          <c:symbol val="none"/>
        </c:marker>
      </c:pivotFmt>
      <c:pivotFmt>
        <c:idx val="285"/>
        <c:marker>
          <c:symbol val="none"/>
        </c:marker>
      </c:pivotFmt>
      <c:pivotFmt>
        <c:idx val="286"/>
        <c:marker>
          <c:symbol val="none"/>
        </c:marker>
      </c:pivotFmt>
      <c:pivotFmt>
        <c:idx val="287"/>
        <c:marker>
          <c:symbol val="none"/>
        </c:marker>
      </c:pivotFmt>
      <c:pivotFmt>
        <c:idx val="288"/>
        <c:marker>
          <c:symbol val="none"/>
        </c:marker>
      </c:pivotFmt>
      <c:pivotFmt>
        <c:idx val="289"/>
        <c:marker>
          <c:symbol val="none"/>
        </c:marker>
      </c:pivotFmt>
      <c:pivotFmt>
        <c:idx val="290"/>
        <c:marker>
          <c:symbol val="none"/>
        </c:marker>
      </c:pivotFmt>
      <c:pivotFmt>
        <c:idx val="291"/>
        <c:marker>
          <c:symbol val="none"/>
        </c:marker>
      </c:pivotFmt>
      <c:pivotFmt>
        <c:idx val="292"/>
        <c:marker>
          <c:symbol val="none"/>
        </c:marker>
      </c:pivotFmt>
      <c:pivotFmt>
        <c:idx val="293"/>
        <c:marker>
          <c:symbol val="none"/>
        </c:marker>
      </c:pivotFmt>
      <c:pivotFmt>
        <c:idx val="294"/>
        <c:marker>
          <c:symbol val="none"/>
        </c:marker>
      </c:pivotFmt>
      <c:pivotFmt>
        <c:idx val="295"/>
        <c:marker>
          <c:symbol val="none"/>
        </c:marker>
      </c:pivotFmt>
      <c:pivotFmt>
        <c:idx val="296"/>
        <c:marker>
          <c:symbol val="none"/>
        </c:marker>
      </c:pivotFmt>
      <c:pivotFmt>
        <c:idx val="297"/>
        <c:marker>
          <c:symbol val="none"/>
        </c:marker>
      </c:pivotFmt>
      <c:pivotFmt>
        <c:idx val="298"/>
        <c:marker>
          <c:symbol val="none"/>
        </c:marker>
      </c:pivotFmt>
      <c:pivotFmt>
        <c:idx val="299"/>
        <c:marker>
          <c:symbol val="none"/>
        </c:marker>
      </c:pivotFmt>
      <c:pivotFmt>
        <c:idx val="300"/>
        <c:marker>
          <c:symbol val="none"/>
        </c:marker>
      </c:pivotFmt>
      <c:pivotFmt>
        <c:idx val="301"/>
        <c:marker>
          <c:symbol val="none"/>
        </c:marker>
      </c:pivotFmt>
      <c:pivotFmt>
        <c:idx val="302"/>
        <c:marker>
          <c:symbol val="none"/>
        </c:marker>
      </c:pivotFmt>
      <c:pivotFmt>
        <c:idx val="303"/>
        <c:marker>
          <c:symbol val="none"/>
        </c:marker>
      </c:pivotFmt>
      <c:pivotFmt>
        <c:idx val="304"/>
        <c:marker>
          <c:symbol val="none"/>
        </c:marker>
      </c:pivotFmt>
      <c:pivotFmt>
        <c:idx val="305"/>
        <c:marker>
          <c:symbol val="none"/>
        </c:marker>
      </c:pivotFmt>
      <c:pivotFmt>
        <c:idx val="306"/>
        <c:marker>
          <c:symbol val="none"/>
        </c:marker>
      </c:pivotFmt>
      <c:pivotFmt>
        <c:idx val="307"/>
        <c:marker>
          <c:symbol val="none"/>
        </c:marker>
      </c:pivotFmt>
      <c:pivotFmt>
        <c:idx val="308"/>
        <c:marker>
          <c:symbol val="none"/>
        </c:marker>
      </c:pivotFmt>
      <c:pivotFmt>
        <c:idx val="309"/>
        <c:marker>
          <c:symbol val="none"/>
        </c:marker>
      </c:pivotFmt>
      <c:pivotFmt>
        <c:idx val="310"/>
        <c:marker>
          <c:symbol val="none"/>
        </c:marker>
      </c:pivotFmt>
      <c:pivotFmt>
        <c:idx val="311"/>
        <c:marker>
          <c:symbol val="none"/>
        </c:marker>
      </c:pivotFmt>
      <c:pivotFmt>
        <c:idx val="312"/>
        <c:marker>
          <c:symbol val="none"/>
        </c:marker>
      </c:pivotFmt>
      <c:pivotFmt>
        <c:idx val="313"/>
        <c:marker>
          <c:symbol val="none"/>
        </c:marker>
      </c:pivotFmt>
      <c:pivotFmt>
        <c:idx val="314"/>
        <c:marker>
          <c:symbol val="none"/>
        </c:marker>
      </c:pivotFmt>
      <c:pivotFmt>
        <c:idx val="315"/>
        <c:marker>
          <c:symbol val="none"/>
        </c:marker>
      </c:pivotFmt>
      <c:pivotFmt>
        <c:idx val="316"/>
        <c:marker>
          <c:symbol val="none"/>
        </c:marker>
      </c:pivotFmt>
      <c:pivotFmt>
        <c:idx val="317"/>
        <c:marker>
          <c:symbol val="none"/>
        </c:marker>
      </c:pivotFmt>
      <c:pivotFmt>
        <c:idx val="318"/>
        <c:marker>
          <c:symbol val="none"/>
        </c:marker>
      </c:pivotFmt>
      <c:pivotFmt>
        <c:idx val="319"/>
        <c:marker>
          <c:symbol val="none"/>
        </c:marker>
      </c:pivotFmt>
      <c:pivotFmt>
        <c:idx val="320"/>
        <c:marker>
          <c:symbol val="none"/>
        </c:marker>
      </c:pivotFmt>
      <c:pivotFmt>
        <c:idx val="321"/>
        <c:marker>
          <c:symbol val="none"/>
        </c:marker>
      </c:pivotFmt>
      <c:pivotFmt>
        <c:idx val="322"/>
        <c:marker>
          <c:symbol val="none"/>
        </c:marker>
      </c:pivotFmt>
      <c:pivotFmt>
        <c:idx val="323"/>
        <c:marker>
          <c:symbol val="none"/>
        </c:marker>
      </c:pivotFmt>
      <c:pivotFmt>
        <c:idx val="324"/>
        <c:marker>
          <c:symbol val="none"/>
        </c:marker>
      </c:pivotFmt>
      <c:pivotFmt>
        <c:idx val="325"/>
        <c:marker>
          <c:symbol val="none"/>
        </c:marker>
      </c:pivotFmt>
      <c:pivotFmt>
        <c:idx val="326"/>
        <c:marker>
          <c:symbol val="none"/>
        </c:marker>
      </c:pivotFmt>
      <c:pivotFmt>
        <c:idx val="327"/>
        <c:marker>
          <c:symbol val="none"/>
        </c:marker>
      </c:pivotFmt>
      <c:pivotFmt>
        <c:idx val="328"/>
        <c:marker>
          <c:symbol val="none"/>
        </c:marker>
      </c:pivotFmt>
      <c:pivotFmt>
        <c:idx val="329"/>
        <c:marker>
          <c:symbol val="none"/>
        </c:marker>
      </c:pivotFmt>
      <c:pivotFmt>
        <c:idx val="330"/>
        <c:marker>
          <c:symbol val="none"/>
        </c:marker>
      </c:pivotFmt>
      <c:pivotFmt>
        <c:idx val="331"/>
        <c:marker>
          <c:symbol val="none"/>
        </c:marker>
      </c:pivotFmt>
      <c:pivotFmt>
        <c:idx val="332"/>
        <c:marker>
          <c:symbol val="none"/>
        </c:marker>
      </c:pivotFmt>
      <c:pivotFmt>
        <c:idx val="333"/>
        <c:marker>
          <c:symbol val="none"/>
        </c:marker>
      </c:pivotFmt>
      <c:pivotFmt>
        <c:idx val="334"/>
        <c:marker>
          <c:symbol val="none"/>
        </c:marker>
      </c:pivotFmt>
      <c:pivotFmt>
        <c:idx val="335"/>
        <c:marker>
          <c:symbol val="none"/>
        </c:marker>
      </c:pivotFmt>
      <c:pivotFmt>
        <c:idx val="336"/>
        <c:marker>
          <c:symbol val="none"/>
        </c:marker>
      </c:pivotFmt>
      <c:pivotFmt>
        <c:idx val="337"/>
        <c:marker>
          <c:symbol val="none"/>
        </c:marker>
      </c:pivotFmt>
      <c:pivotFmt>
        <c:idx val="338"/>
        <c:marker>
          <c:symbol val="none"/>
        </c:marker>
      </c:pivotFmt>
      <c:pivotFmt>
        <c:idx val="339"/>
        <c:marker>
          <c:symbol val="none"/>
        </c:marker>
      </c:pivotFmt>
      <c:pivotFmt>
        <c:idx val="340"/>
        <c:marker>
          <c:symbol val="none"/>
        </c:marker>
      </c:pivotFmt>
      <c:pivotFmt>
        <c:idx val="341"/>
        <c:marker>
          <c:symbol val="none"/>
        </c:marker>
      </c:pivotFmt>
      <c:pivotFmt>
        <c:idx val="342"/>
        <c:marker>
          <c:symbol val="none"/>
        </c:marker>
      </c:pivotFmt>
      <c:pivotFmt>
        <c:idx val="343"/>
        <c:marker>
          <c:symbol val="none"/>
        </c:marker>
      </c:pivotFmt>
      <c:pivotFmt>
        <c:idx val="344"/>
        <c:marker>
          <c:symbol val="none"/>
        </c:marker>
      </c:pivotFmt>
      <c:pivotFmt>
        <c:idx val="345"/>
        <c:marker>
          <c:symbol val="none"/>
        </c:marker>
      </c:pivotFmt>
      <c:pivotFmt>
        <c:idx val="346"/>
        <c:marker>
          <c:symbol val="none"/>
        </c:marker>
      </c:pivotFmt>
      <c:pivotFmt>
        <c:idx val="347"/>
        <c:marker>
          <c:symbol val="none"/>
        </c:marker>
      </c:pivotFmt>
      <c:pivotFmt>
        <c:idx val="348"/>
        <c:marker>
          <c:symbol val="none"/>
        </c:marker>
      </c:pivotFmt>
      <c:pivotFmt>
        <c:idx val="349"/>
        <c:marker>
          <c:symbol val="none"/>
        </c:marker>
      </c:pivotFmt>
      <c:pivotFmt>
        <c:idx val="350"/>
        <c:marker>
          <c:symbol val="none"/>
        </c:marker>
      </c:pivotFmt>
      <c:pivotFmt>
        <c:idx val="351"/>
        <c:marker>
          <c:symbol val="none"/>
        </c:marker>
      </c:pivotFmt>
      <c:pivotFmt>
        <c:idx val="352"/>
        <c:marker>
          <c:symbol val="none"/>
        </c:marker>
      </c:pivotFmt>
      <c:pivotFmt>
        <c:idx val="353"/>
        <c:marker>
          <c:symbol val="none"/>
        </c:marker>
      </c:pivotFmt>
      <c:pivotFmt>
        <c:idx val="354"/>
        <c:marker>
          <c:symbol val="none"/>
        </c:marker>
      </c:pivotFmt>
      <c:pivotFmt>
        <c:idx val="355"/>
        <c:marker>
          <c:symbol val="none"/>
        </c:marker>
      </c:pivotFmt>
      <c:pivotFmt>
        <c:idx val="356"/>
        <c:marker>
          <c:symbol val="none"/>
        </c:marker>
      </c:pivotFmt>
      <c:pivotFmt>
        <c:idx val="357"/>
        <c:marker>
          <c:symbol val="none"/>
        </c:marker>
      </c:pivotFmt>
      <c:pivotFmt>
        <c:idx val="358"/>
        <c:marker>
          <c:symbol val="none"/>
        </c:marker>
      </c:pivotFmt>
      <c:pivotFmt>
        <c:idx val="359"/>
        <c:marker>
          <c:symbol val="none"/>
        </c:marker>
      </c:pivotFmt>
      <c:pivotFmt>
        <c:idx val="360"/>
        <c:marker>
          <c:symbol val="none"/>
        </c:marker>
      </c:pivotFmt>
      <c:pivotFmt>
        <c:idx val="361"/>
        <c:marker>
          <c:symbol val="none"/>
        </c:marker>
      </c:pivotFmt>
      <c:pivotFmt>
        <c:idx val="362"/>
        <c:marker>
          <c:symbol val="none"/>
        </c:marker>
      </c:pivotFmt>
      <c:pivotFmt>
        <c:idx val="363"/>
        <c:marker>
          <c:symbol val="none"/>
        </c:marker>
      </c:pivotFmt>
      <c:pivotFmt>
        <c:idx val="364"/>
        <c:marker>
          <c:symbol val="none"/>
        </c:marker>
      </c:pivotFmt>
      <c:pivotFmt>
        <c:idx val="365"/>
        <c:marker>
          <c:symbol val="none"/>
        </c:marker>
      </c:pivotFmt>
      <c:pivotFmt>
        <c:idx val="366"/>
        <c:marker>
          <c:symbol val="none"/>
        </c:marker>
      </c:pivotFmt>
      <c:pivotFmt>
        <c:idx val="367"/>
        <c:marker>
          <c:symbol val="none"/>
        </c:marker>
      </c:pivotFmt>
      <c:pivotFmt>
        <c:idx val="368"/>
        <c:marker>
          <c:symbol val="none"/>
        </c:marker>
      </c:pivotFmt>
      <c:pivotFmt>
        <c:idx val="369"/>
        <c:marker>
          <c:symbol val="none"/>
        </c:marker>
      </c:pivotFmt>
      <c:pivotFmt>
        <c:idx val="370"/>
        <c:marker>
          <c:symbol val="none"/>
        </c:marker>
      </c:pivotFmt>
      <c:pivotFmt>
        <c:idx val="371"/>
        <c:marker>
          <c:symbol val="none"/>
        </c:marker>
      </c:pivotFmt>
      <c:pivotFmt>
        <c:idx val="372"/>
        <c:marker>
          <c:symbol val="none"/>
        </c:marker>
      </c:pivotFmt>
      <c:pivotFmt>
        <c:idx val="373"/>
        <c:marker>
          <c:symbol val="none"/>
        </c:marker>
      </c:pivotFmt>
      <c:pivotFmt>
        <c:idx val="374"/>
        <c:marker>
          <c:symbol val="none"/>
        </c:marker>
      </c:pivotFmt>
      <c:pivotFmt>
        <c:idx val="375"/>
        <c:marker>
          <c:symbol val="none"/>
        </c:marker>
      </c:pivotFmt>
      <c:pivotFmt>
        <c:idx val="376"/>
        <c:marker>
          <c:symbol val="none"/>
        </c:marker>
      </c:pivotFmt>
      <c:pivotFmt>
        <c:idx val="377"/>
        <c:marker>
          <c:symbol val="none"/>
        </c:marker>
      </c:pivotFmt>
      <c:pivotFmt>
        <c:idx val="378"/>
        <c:marker>
          <c:symbol val="none"/>
        </c:marker>
      </c:pivotFmt>
      <c:pivotFmt>
        <c:idx val="379"/>
        <c:marker>
          <c:symbol val="none"/>
        </c:marker>
      </c:pivotFmt>
      <c:pivotFmt>
        <c:idx val="380"/>
        <c:marker>
          <c:symbol val="none"/>
        </c:marker>
      </c:pivotFmt>
      <c:pivotFmt>
        <c:idx val="381"/>
        <c:marker>
          <c:symbol val="none"/>
        </c:marker>
      </c:pivotFmt>
      <c:pivotFmt>
        <c:idx val="382"/>
        <c:marker>
          <c:symbol val="none"/>
        </c:marker>
      </c:pivotFmt>
      <c:pivotFmt>
        <c:idx val="383"/>
        <c:marker>
          <c:symbol val="none"/>
        </c:marker>
      </c:pivotFmt>
      <c:pivotFmt>
        <c:idx val="384"/>
        <c:marker>
          <c:symbol val="none"/>
        </c:marker>
      </c:pivotFmt>
      <c:pivotFmt>
        <c:idx val="385"/>
        <c:marker>
          <c:symbol val="none"/>
        </c:marker>
      </c:pivotFmt>
      <c:pivotFmt>
        <c:idx val="386"/>
        <c:marker>
          <c:symbol val="none"/>
        </c:marker>
      </c:pivotFmt>
      <c:pivotFmt>
        <c:idx val="387"/>
        <c:marker>
          <c:symbol val="none"/>
        </c:marker>
      </c:pivotFmt>
      <c:pivotFmt>
        <c:idx val="388"/>
        <c:marker>
          <c:symbol val="none"/>
        </c:marker>
      </c:pivotFmt>
      <c:pivotFmt>
        <c:idx val="389"/>
        <c:marker>
          <c:symbol val="none"/>
        </c:marker>
      </c:pivotFmt>
      <c:pivotFmt>
        <c:idx val="390"/>
        <c:marker>
          <c:symbol val="none"/>
        </c:marker>
      </c:pivotFmt>
      <c:pivotFmt>
        <c:idx val="391"/>
        <c:marker>
          <c:symbol val="none"/>
        </c:marker>
      </c:pivotFmt>
      <c:pivotFmt>
        <c:idx val="392"/>
        <c:marker>
          <c:symbol val="none"/>
        </c:marker>
      </c:pivotFmt>
      <c:pivotFmt>
        <c:idx val="393"/>
        <c:marker>
          <c:symbol val="none"/>
        </c:marker>
      </c:pivotFmt>
      <c:pivotFmt>
        <c:idx val="394"/>
        <c:marker>
          <c:symbol val="none"/>
        </c:marker>
      </c:pivotFmt>
      <c:pivotFmt>
        <c:idx val="395"/>
        <c:marker>
          <c:symbol val="none"/>
        </c:marker>
      </c:pivotFmt>
      <c:pivotFmt>
        <c:idx val="396"/>
        <c:marker>
          <c:symbol val="none"/>
        </c:marker>
      </c:pivotFmt>
      <c:pivotFmt>
        <c:idx val="397"/>
        <c:marker>
          <c:symbol val="none"/>
        </c:marker>
      </c:pivotFmt>
      <c:pivotFmt>
        <c:idx val="398"/>
        <c:marker>
          <c:symbol val="none"/>
        </c:marker>
      </c:pivotFmt>
      <c:pivotFmt>
        <c:idx val="399"/>
        <c:marker>
          <c:symbol val="none"/>
        </c:marker>
      </c:pivotFmt>
      <c:pivotFmt>
        <c:idx val="400"/>
        <c:marker>
          <c:symbol val="none"/>
        </c:marker>
      </c:pivotFmt>
      <c:pivotFmt>
        <c:idx val="401"/>
        <c:marker>
          <c:symbol val="none"/>
        </c:marker>
      </c:pivotFmt>
      <c:pivotFmt>
        <c:idx val="402"/>
        <c:marker>
          <c:symbol val="none"/>
        </c:marker>
      </c:pivotFmt>
      <c:pivotFmt>
        <c:idx val="403"/>
        <c:marker>
          <c:symbol val="none"/>
        </c:marker>
      </c:pivotFmt>
      <c:pivotFmt>
        <c:idx val="404"/>
        <c:marker>
          <c:symbol val="none"/>
        </c:marker>
      </c:pivotFmt>
      <c:pivotFmt>
        <c:idx val="405"/>
        <c:marker>
          <c:symbol val="none"/>
        </c:marker>
      </c:pivotFmt>
      <c:pivotFmt>
        <c:idx val="406"/>
        <c:marker>
          <c:symbol val="none"/>
        </c:marker>
      </c:pivotFmt>
      <c:pivotFmt>
        <c:idx val="407"/>
        <c:marker>
          <c:symbol val="none"/>
        </c:marker>
      </c:pivotFmt>
      <c:pivotFmt>
        <c:idx val="408"/>
        <c:marker>
          <c:symbol val="none"/>
        </c:marker>
      </c:pivotFmt>
      <c:pivotFmt>
        <c:idx val="409"/>
        <c:marker>
          <c:symbol val="none"/>
        </c:marker>
      </c:pivotFmt>
      <c:pivotFmt>
        <c:idx val="410"/>
        <c:marker>
          <c:symbol val="none"/>
        </c:marker>
      </c:pivotFmt>
      <c:pivotFmt>
        <c:idx val="411"/>
        <c:marker>
          <c:symbol val="none"/>
        </c:marker>
      </c:pivotFmt>
      <c:pivotFmt>
        <c:idx val="412"/>
        <c:marker>
          <c:symbol val="none"/>
        </c:marker>
      </c:pivotFmt>
      <c:pivotFmt>
        <c:idx val="413"/>
        <c:marker>
          <c:symbol val="none"/>
        </c:marker>
      </c:pivotFmt>
      <c:pivotFmt>
        <c:idx val="414"/>
        <c:marker>
          <c:symbol val="none"/>
        </c:marker>
      </c:pivotFmt>
      <c:pivotFmt>
        <c:idx val="415"/>
        <c:marker>
          <c:symbol val="none"/>
        </c:marker>
      </c:pivotFmt>
      <c:pivotFmt>
        <c:idx val="416"/>
        <c:marker>
          <c:symbol val="none"/>
        </c:marker>
      </c:pivotFmt>
      <c:pivotFmt>
        <c:idx val="417"/>
        <c:marker>
          <c:symbol val="none"/>
        </c:marker>
      </c:pivotFmt>
      <c:pivotFmt>
        <c:idx val="418"/>
        <c:marker>
          <c:symbol val="none"/>
        </c:marker>
      </c:pivotFmt>
      <c:pivotFmt>
        <c:idx val="419"/>
        <c:marker>
          <c:symbol val="none"/>
        </c:marker>
      </c:pivotFmt>
      <c:pivotFmt>
        <c:idx val="420"/>
        <c:marker>
          <c:symbol val="none"/>
        </c:marker>
      </c:pivotFmt>
      <c:pivotFmt>
        <c:idx val="421"/>
        <c:marker>
          <c:symbol val="none"/>
        </c:marker>
      </c:pivotFmt>
      <c:pivotFmt>
        <c:idx val="422"/>
        <c:marker>
          <c:symbol val="none"/>
        </c:marker>
      </c:pivotFmt>
      <c:pivotFmt>
        <c:idx val="423"/>
        <c:marker>
          <c:symbol val="none"/>
        </c:marker>
      </c:pivotFmt>
      <c:pivotFmt>
        <c:idx val="424"/>
        <c:marker>
          <c:symbol val="none"/>
        </c:marker>
      </c:pivotFmt>
      <c:pivotFmt>
        <c:idx val="425"/>
        <c:marker>
          <c:symbol val="none"/>
        </c:marker>
      </c:pivotFmt>
      <c:pivotFmt>
        <c:idx val="426"/>
        <c:marker>
          <c:symbol val="none"/>
        </c:marker>
      </c:pivotFmt>
      <c:pivotFmt>
        <c:idx val="427"/>
        <c:marker>
          <c:symbol val="none"/>
        </c:marker>
      </c:pivotFmt>
      <c:pivotFmt>
        <c:idx val="428"/>
        <c:marker>
          <c:symbol val="none"/>
        </c:marker>
      </c:pivotFmt>
      <c:pivotFmt>
        <c:idx val="429"/>
        <c:marker>
          <c:symbol val="none"/>
        </c:marker>
      </c:pivotFmt>
      <c:pivotFmt>
        <c:idx val="430"/>
        <c:marker>
          <c:symbol val="none"/>
        </c:marker>
      </c:pivotFmt>
      <c:pivotFmt>
        <c:idx val="431"/>
        <c:marker>
          <c:symbol val="none"/>
        </c:marker>
      </c:pivotFmt>
      <c:pivotFmt>
        <c:idx val="432"/>
        <c:marker>
          <c:symbol val="none"/>
        </c:marker>
      </c:pivotFmt>
      <c:pivotFmt>
        <c:idx val="433"/>
        <c:marker>
          <c:symbol val="none"/>
        </c:marker>
      </c:pivotFmt>
      <c:pivotFmt>
        <c:idx val="434"/>
        <c:marker>
          <c:symbol val="none"/>
        </c:marker>
      </c:pivotFmt>
      <c:pivotFmt>
        <c:idx val="435"/>
        <c:marker>
          <c:symbol val="none"/>
        </c:marker>
      </c:pivotFmt>
      <c:pivotFmt>
        <c:idx val="436"/>
        <c:marker>
          <c:symbol val="none"/>
        </c:marker>
      </c:pivotFmt>
      <c:pivotFmt>
        <c:idx val="437"/>
        <c:marker>
          <c:symbol val="none"/>
        </c:marker>
      </c:pivotFmt>
      <c:pivotFmt>
        <c:idx val="438"/>
        <c:marker>
          <c:symbol val="none"/>
        </c:marker>
      </c:pivotFmt>
      <c:pivotFmt>
        <c:idx val="439"/>
        <c:marker>
          <c:symbol val="none"/>
        </c:marker>
      </c:pivotFmt>
      <c:pivotFmt>
        <c:idx val="440"/>
        <c:marker>
          <c:symbol val="none"/>
        </c:marker>
      </c:pivotFmt>
      <c:pivotFmt>
        <c:idx val="441"/>
        <c:marker>
          <c:symbol val="none"/>
        </c:marker>
      </c:pivotFmt>
      <c:pivotFmt>
        <c:idx val="442"/>
        <c:marker>
          <c:symbol val="none"/>
        </c:marker>
      </c:pivotFmt>
      <c:pivotFmt>
        <c:idx val="443"/>
        <c:marker>
          <c:symbol val="none"/>
        </c:marker>
      </c:pivotFmt>
      <c:pivotFmt>
        <c:idx val="444"/>
        <c:marker>
          <c:symbol val="none"/>
        </c:marker>
      </c:pivotFmt>
      <c:pivotFmt>
        <c:idx val="445"/>
        <c:marker>
          <c:symbol val="none"/>
        </c:marker>
      </c:pivotFmt>
      <c:pivotFmt>
        <c:idx val="446"/>
        <c:marker>
          <c:symbol val="none"/>
        </c:marker>
      </c:pivotFmt>
      <c:pivotFmt>
        <c:idx val="447"/>
        <c:marker>
          <c:symbol val="none"/>
        </c:marker>
      </c:pivotFmt>
      <c:pivotFmt>
        <c:idx val="448"/>
        <c:marker>
          <c:symbol val="none"/>
        </c:marker>
      </c:pivotFmt>
      <c:pivotFmt>
        <c:idx val="449"/>
        <c:marker>
          <c:symbol val="none"/>
        </c:marker>
      </c:pivotFmt>
      <c:pivotFmt>
        <c:idx val="450"/>
        <c:marker>
          <c:symbol val="none"/>
        </c:marker>
      </c:pivotFmt>
      <c:pivotFmt>
        <c:idx val="451"/>
        <c:marker>
          <c:symbol val="none"/>
        </c:marker>
      </c:pivotFmt>
      <c:pivotFmt>
        <c:idx val="452"/>
        <c:marker>
          <c:symbol val="none"/>
        </c:marker>
      </c:pivotFmt>
      <c:pivotFmt>
        <c:idx val="453"/>
        <c:marker>
          <c:symbol val="none"/>
        </c:marker>
      </c:pivotFmt>
      <c:pivotFmt>
        <c:idx val="454"/>
        <c:marker>
          <c:symbol val="none"/>
        </c:marker>
      </c:pivotFmt>
      <c:pivotFmt>
        <c:idx val="455"/>
        <c:marker>
          <c:symbol val="none"/>
        </c:marker>
      </c:pivotFmt>
      <c:pivotFmt>
        <c:idx val="456"/>
        <c:marker>
          <c:symbol val="none"/>
        </c:marker>
      </c:pivotFmt>
      <c:pivotFmt>
        <c:idx val="457"/>
        <c:marker>
          <c:symbol val="none"/>
        </c:marker>
      </c:pivotFmt>
      <c:pivotFmt>
        <c:idx val="458"/>
        <c:marker>
          <c:symbol val="none"/>
        </c:marker>
      </c:pivotFmt>
      <c:pivotFmt>
        <c:idx val="459"/>
        <c:marker>
          <c:symbol val="none"/>
        </c:marker>
      </c:pivotFmt>
      <c:pivotFmt>
        <c:idx val="460"/>
        <c:marker>
          <c:symbol val="none"/>
        </c:marker>
      </c:pivotFmt>
      <c:pivotFmt>
        <c:idx val="461"/>
        <c:marker>
          <c:symbol val="none"/>
        </c:marker>
      </c:pivotFmt>
      <c:pivotFmt>
        <c:idx val="462"/>
        <c:marker>
          <c:symbol val="none"/>
        </c:marker>
      </c:pivotFmt>
      <c:pivotFmt>
        <c:idx val="463"/>
        <c:marker>
          <c:symbol val="none"/>
        </c:marker>
      </c:pivotFmt>
      <c:pivotFmt>
        <c:idx val="464"/>
        <c:marker>
          <c:symbol val="none"/>
        </c:marker>
      </c:pivotFmt>
      <c:pivotFmt>
        <c:idx val="465"/>
        <c:marker>
          <c:symbol val="none"/>
        </c:marker>
      </c:pivotFmt>
      <c:pivotFmt>
        <c:idx val="466"/>
        <c:marker>
          <c:symbol val="none"/>
        </c:marker>
      </c:pivotFmt>
      <c:pivotFmt>
        <c:idx val="467"/>
        <c:marker>
          <c:symbol val="none"/>
        </c:marker>
      </c:pivotFmt>
      <c:pivotFmt>
        <c:idx val="468"/>
        <c:marker>
          <c:symbol val="none"/>
        </c:marker>
      </c:pivotFmt>
      <c:pivotFmt>
        <c:idx val="469"/>
        <c:marker>
          <c:symbol val="none"/>
        </c:marker>
      </c:pivotFmt>
      <c:pivotFmt>
        <c:idx val="470"/>
        <c:marker>
          <c:symbol val="none"/>
        </c:marker>
      </c:pivotFmt>
      <c:pivotFmt>
        <c:idx val="471"/>
        <c:marker>
          <c:symbol val="none"/>
        </c:marker>
      </c:pivotFmt>
      <c:pivotFmt>
        <c:idx val="472"/>
        <c:marker>
          <c:symbol val="none"/>
        </c:marker>
      </c:pivotFmt>
      <c:pivotFmt>
        <c:idx val="473"/>
        <c:marker>
          <c:symbol val="none"/>
        </c:marker>
      </c:pivotFmt>
      <c:pivotFmt>
        <c:idx val="474"/>
        <c:marker>
          <c:symbol val="none"/>
        </c:marker>
      </c:pivotFmt>
      <c:pivotFmt>
        <c:idx val="475"/>
        <c:marker>
          <c:symbol val="none"/>
        </c:marker>
      </c:pivotFmt>
      <c:pivotFmt>
        <c:idx val="476"/>
        <c:marker>
          <c:symbol val="none"/>
        </c:marker>
      </c:pivotFmt>
      <c:pivotFmt>
        <c:idx val="477"/>
        <c:marker>
          <c:symbol val="none"/>
        </c:marker>
      </c:pivotFmt>
      <c:pivotFmt>
        <c:idx val="478"/>
        <c:marker>
          <c:symbol val="none"/>
        </c:marker>
      </c:pivotFmt>
      <c:pivotFmt>
        <c:idx val="479"/>
        <c:marker>
          <c:symbol val="none"/>
        </c:marker>
      </c:pivotFmt>
      <c:pivotFmt>
        <c:idx val="480"/>
        <c:marker>
          <c:symbol val="none"/>
        </c:marker>
      </c:pivotFmt>
      <c:pivotFmt>
        <c:idx val="481"/>
        <c:marker>
          <c:symbol val="none"/>
        </c:marker>
      </c:pivotFmt>
      <c:pivotFmt>
        <c:idx val="482"/>
        <c:marker>
          <c:symbol val="none"/>
        </c:marker>
      </c:pivotFmt>
      <c:pivotFmt>
        <c:idx val="483"/>
        <c:marker>
          <c:symbol val="none"/>
        </c:marker>
      </c:pivotFmt>
      <c:pivotFmt>
        <c:idx val="484"/>
        <c:marker>
          <c:symbol val="none"/>
        </c:marker>
      </c:pivotFmt>
      <c:pivotFmt>
        <c:idx val="485"/>
        <c:marker>
          <c:symbol val="none"/>
        </c:marker>
      </c:pivotFmt>
      <c:pivotFmt>
        <c:idx val="486"/>
        <c:marker>
          <c:symbol val="none"/>
        </c:marker>
      </c:pivotFmt>
      <c:pivotFmt>
        <c:idx val="487"/>
        <c:marker>
          <c:symbol val="none"/>
        </c:marker>
      </c:pivotFmt>
      <c:pivotFmt>
        <c:idx val="488"/>
        <c:marker>
          <c:symbol val="none"/>
        </c:marker>
      </c:pivotFmt>
      <c:pivotFmt>
        <c:idx val="489"/>
        <c:marker>
          <c:symbol val="none"/>
        </c:marker>
      </c:pivotFmt>
      <c:pivotFmt>
        <c:idx val="490"/>
        <c:marker>
          <c:symbol val="none"/>
        </c:marker>
      </c:pivotFmt>
      <c:pivotFmt>
        <c:idx val="491"/>
        <c:marker>
          <c:symbol val="none"/>
        </c:marker>
      </c:pivotFmt>
      <c:pivotFmt>
        <c:idx val="492"/>
        <c:marker>
          <c:symbol val="none"/>
        </c:marker>
      </c:pivotFmt>
      <c:pivotFmt>
        <c:idx val="493"/>
        <c:marker>
          <c:symbol val="none"/>
        </c:marker>
      </c:pivotFmt>
      <c:pivotFmt>
        <c:idx val="494"/>
        <c:marker>
          <c:symbol val="none"/>
        </c:marker>
      </c:pivotFmt>
      <c:pivotFmt>
        <c:idx val="495"/>
        <c:marker>
          <c:symbol val="none"/>
        </c:marker>
      </c:pivotFmt>
      <c:pivotFmt>
        <c:idx val="496"/>
        <c:marker>
          <c:symbol val="none"/>
        </c:marker>
      </c:pivotFmt>
      <c:pivotFmt>
        <c:idx val="497"/>
        <c:marker>
          <c:symbol val="none"/>
        </c:marker>
      </c:pivotFmt>
      <c:pivotFmt>
        <c:idx val="498"/>
        <c:marker>
          <c:symbol val="none"/>
        </c:marker>
      </c:pivotFmt>
      <c:pivotFmt>
        <c:idx val="499"/>
        <c:marker>
          <c:symbol val="none"/>
        </c:marker>
      </c:pivotFmt>
      <c:pivotFmt>
        <c:idx val="500"/>
        <c:marker>
          <c:symbol val="none"/>
        </c:marker>
      </c:pivotFmt>
      <c:pivotFmt>
        <c:idx val="501"/>
        <c:marker>
          <c:symbol val="none"/>
        </c:marker>
      </c:pivotFmt>
      <c:pivotFmt>
        <c:idx val="502"/>
        <c:marker>
          <c:symbol val="none"/>
        </c:marker>
      </c:pivotFmt>
      <c:pivotFmt>
        <c:idx val="503"/>
        <c:marker>
          <c:symbol val="none"/>
        </c:marker>
      </c:pivotFmt>
      <c:pivotFmt>
        <c:idx val="504"/>
        <c:marker>
          <c:symbol val="none"/>
        </c:marker>
      </c:pivotFmt>
      <c:pivotFmt>
        <c:idx val="505"/>
        <c:marker>
          <c:symbol val="none"/>
        </c:marker>
      </c:pivotFmt>
      <c:pivotFmt>
        <c:idx val="506"/>
        <c:marker>
          <c:symbol val="none"/>
        </c:marker>
      </c:pivotFmt>
      <c:pivotFmt>
        <c:idx val="507"/>
        <c:marker>
          <c:symbol val="none"/>
        </c:marker>
      </c:pivotFmt>
      <c:pivotFmt>
        <c:idx val="508"/>
        <c:marker>
          <c:symbol val="none"/>
        </c:marker>
      </c:pivotFmt>
      <c:pivotFmt>
        <c:idx val="509"/>
        <c:marker>
          <c:symbol val="none"/>
        </c:marker>
      </c:pivotFmt>
      <c:pivotFmt>
        <c:idx val="510"/>
        <c:marker>
          <c:symbol val="none"/>
        </c:marker>
      </c:pivotFmt>
      <c:pivotFmt>
        <c:idx val="511"/>
        <c:marker>
          <c:symbol val="none"/>
        </c:marker>
      </c:pivotFmt>
      <c:pivotFmt>
        <c:idx val="512"/>
        <c:marker>
          <c:symbol val="none"/>
        </c:marker>
      </c:pivotFmt>
      <c:pivotFmt>
        <c:idx val="513"/>
        <c:marker>
          <c:symbol val="none"/>
        </c:marker>
      </c:pivotFmt>
      <c:pivotFmt>
        <c:idx val="514"/>
        <c:marker>
          <c:symbol val="none"/>
        </c:marker>
      </c:pivotFmt>
      <c:pivotFmt>
        <c:idx val="515"/>
        <c:marker>
          <c:symbol val="none"/>
        </c:marker>
      </c:pivotFmt>
      <c:pivotFmt>
        <c:idx val="516"/>
        <c:marker>
          <c:symbol val="none"/>
        </c:marker>
      </c:pivotFmt>
      <c:pivotFmt>
        <c:idx val="517"/>
        <c:marker>
          <c:symbol val="none"/>
        </c:marker>
      </c:pivotFmt>
      <c:pivotFmt>
        <c:idx val="518"/>
        <c:marker>
          <c:symbol val="none"/>
        </c:marker>
      </c:pivotFmt>
      <c:pivotFmt>
        <c:idx val="519"/>
        <c:marker>
          <c:symbol val="none"/>
        </c:marker>
      </c:pivotFmt>
      <c:pivotFmt>
        <c:idx val="520"/>
        <c:marker>
          <c:symbol val="none"/>
        </c:marker>
      </c:pivotFmt>
      <c:pivotFmt>
        <c:idx val="521"/>
        <c:marker>
          <c:symbol val="none"/>
        </c:marker>
      </c:pivotFmt>
      <c:pivotFmt>
        <c:idx val="522"/>
        <c:marker>
          <c:symbol val="none"/>
        </c:marker>
      </c:pivotFmt>
      <c:pivotFmt>
        <c:idx val="523"/>
        <c:marker>
          <c:symbol val="none"/>
        </c:marker>
      </c:pivotFmt>
      <c:pivotFmt>
        <c:idx val="524"/>
        <c:marker>
          <c:symbol val="none"/>
        </c:marker>
      </c:pivotFmt>
      <c:pivotFmt>
        <c:idx val="525"/>
        <c:marker>
          <c:symbol val="none"/>
        </c:marker>
      </c:pivotFmt>
      <c:pivotFmt>
        <c:idx val="526"/>
        <c:marker>
          <c:symbol val="none"/>
        </c:marker>
      </c:pivotFmt>
      <c:pivotFmt>
        <c:idx val="527"/>
        <c:marker>
          <c:symbol val="none"/>
        </c:marker>
      </c:pivotFmt>
      <c:pivotFmt>
        <c:idx val="528"/>
        <c:marker>
          <c:symbol val="none"/>
        </c:marker>
      </c:pivotFmt>
      <c:pivotFmt>
        <c:idx val="529"/>
        <c:marker>
          <c:symbol val="none"/>
        </c:marker>
      </c:pivotFmt>
      <c:pivotFmt>
        <c:idx val="530"/>
        <c:marker>
          <c:symbol val="none"/>
        </c:marker>
      </c:pivotFmt>
      <c:pivotFmt>
        <c:idx val="531"/>
        <c:marker>
          <c:symbol val="none"/>
        </c:marker>
      </c:pivotFmt>
      <c:pivotFmt>
        <c:idx val="532"/>
        <c:marker>
          <c:symbol val="none"/>
        </c:marker>
      </c:pivotFmt>
      <c:pivotFmt>
        <c:idx val="533"/>
        <c:marker>
          <c:symbol val="none"/>
        </c:marker>
      </c:pivotFmt>
      <c:pivotFmt>
        <c:idx val="534"/>
        <c:marker>
          <c:symbol val="none"/>
        </c:marker>
      </c:pivotFmt>
      <c:pivotFmt>
        <c:idx val="535"/>
        <c:marker>
          <c:symbol val="none"/>
        </c:marker>
      </c:pivotFmt>
      <c:pivotFmt>
        <c:idx val="536"/>
        <c:marker>
          <c:symbol val="none"/>
        </c:marker>
      </c:pivotFmt>
      <c:pivotFmt>
        <c:idx val="537"/>
        <c:marker>
          <c:symbol val="none"/>
        </c:marker>
      </c:pivotFmt>
      <c:pivotFmt>
        <c:idx val="538"/>
        <c:marker>
          <c:symbol val="none"/>
        </c:marker>
      </c:pivotFmt>
      <c:pivotFmt>
        <c:idx val="539"/>
        <c:marker>
          <c:symbol val="none"/>
        </c:marker>
      </c:pivotFmt>
      <c:pivotFmt>
        <c:idx val="540"/>
        <c:marker>
          <c:symbol val="none"/>
        </c:marker>
      </c:pivotFmt>
      <c:pivotFmt>
        <c:idx val="541"/>
        <c:marker>
          <c:symbol val="none"/>
        </c:marker>
      </c:pivotFmt>
      <c:pivotFmt>
        <c:idx val="542"/>
        <c:marker>
          <c:symbol val="none"/>
        </c:marker>
      </c:pivotFmt>
      <c:pivotFmt>
        <c:idx val="543"/>
        <c:marker>
          <c:symbol val="none"/>
        </c:marker>
      </c:pivotFmt>
      <c:pivotFmt>
        <c:idx val="544"/>
        <c:marker>
          <c:symbol val="none"/>
        </c:marker>
      </c:pivotFmt>
      <c:pivotFmt>
        <c:idx val="545"/>
        <c:marker>
          <c:symbol val="none"/>
        </c:marker>
      </c:pivotFmt>
      <c:pivotFmt>
        <c:idx val="546"/>
        <c:marker>
          <c:symbol val="none"/>
        </c:marker>
      </c:pivotFmt>
      <c:pivotFmt>
        <c:idx val="547"/>
        <c:marker>
          <c:symbol val="none"/>
        </c:marker>
      </c:pivotFmt>
      <c:pivotFmt>
        <c:idx val="548"/>
        <c:marker>
          <c:symbol val="none"/>
        </c:marker>
      </c:pivotFmt>
      <c:pivotFmt>
        <c:idx val="549"/>
        <c:marker>
          <c:symbol val="none"/>
        </c:marker>
      </c:pivotFmt>
      <c:pivotFmt>
        <c:idx val="550"/>
        <c:marker>
          <c:symbol val="none"/>
        </c:marker>
      </c:pivotFmt>
      <c:pivotFmt>
        <c:idx val="551"/>
        <c:marker>
          <c:symbol val="none"/>
        </c:marker>
      </c:pivotFmt>
      <c:pivotFmt>
        <c:idx val="552"/>
        <c:marker>
          <c:symbol val="none"/>
        </c:marker>
      </c:pivotFmt>
      <c:pivotFmt>
        <c:idx val="553"/>
        <c:marker>
          <c:symbol val="none"/>
        </c:marker>
      </c:pivotFmt>
      <c:pivotFmt>
        <c:idx val="554"/>
        <c:marker>
          <c:symbol val="none"/>
        </c:marker>
      </c:pivotFmt>
      <c:pivotFmt>
        <c:idx val="555"/>
        <c:marker>
          <c:symbol val="none"/>
        </c:marker>
      </c:pivotFmt>
      <c:pivotFmt>
        <c:idx val="556"/>
        <c:marker>
          <c:symbol val="none"/>
        </c:marker>
      </c:pivotFmt>
      <c:pivotFmt>
        <c:idx val="557"/>
        <c:marker>
          <c:symbol val="none"/>
        </c:marker>
      </c:pivotFmt>
      <c:pivotFmt>
        <c:idx val="558"/>
        <c:marker>
          <c:symbol val="none"/>
        </c:marker>
      </c:pivotFmt>
      <c:pivotFmt>
        <c:idx val="559"/>
        <c:marker>
          <c:symbol val="none"/>
        </c:marker>
      </c:pivotFmt>
      <c:pivotFmt>
        <c:idx val="560"/>
        <c:marker>
          <c:symbol val="none"/>
        </c:marker>
      </c:pivotFmt>
      <c:pivotFmt>
        <c:idx val="561"/>
        <c:marker>
          <c:symbol val="none"/>
        </c:marker>
      </c:pivotFmt>
      <c:pivotFmt>
        <c:idx val="562"/>
        <c:marker>
          <c:symbol val="none"/>
        </c:marker>
      </c:pivotFmt>
      <c:pivotFmt>
        <c:idx val="563"/>
        <c:marker>
          <c:symbol val="none"/>
        </c:marker>
      </c:pivotFmt>
      <c:pivotFmt>
        <c:idx val="564"/>
        <c:marker>
          <c:symbol val="none"/>
        </c:marker>
      </c:pivotFmt>
      <c:pivotFmt>
        <c:idx val="565"/>
        <c:marker>
          <c:symbol val="none"/>
        </c:marker>
      </c:pivotFmt>
      <c:pivotFmt>
        <c:idx val="566"/>
        <c:marker>
          <c:symbol val="none"/>
        </c:marker>
      </c:pivotFmt>
      <c:pivotFmt>
        <c:idx val="567"/>
        <c:marker>
          <c:symbol val="none"/>
        </c:marker>
      </c:pivotFmt>
      <c:pivotFmt>
        <c:idx val="568"/>
        <c:marker>
          <c:symbol val="none"/>
        </c:marker>
      </c:pivotFmt>
      <c:pivotFmt>
        <c:idx val="569"/>
        <c:marker>
          <c:symbol val="none"/>
        </c:marker>
      </c:pivotFmt>
      <c:pivotFmt>
        <c:idx val="570"/>
        <c:marker>
          <c:symbol val="none"/>
        </c:marker>
      </c:pivotFmt>
      <c:pivotFmt>
        <c:idx val="571"/>
        <c:marker>
          <c:symbol val="none"/>
        </c:marker>
      </c:pivotFmt>
      <c:pivotFmt>
        <c:idx val="572"/>
        <c:marker>
          <c:symbol val="none"/>
        </c:marker>
      </c:pivotFmt>
      <c:pivotFmt>
        <c:idx val="573"/>
        <c:marker>
          <c:symbol val="none"/>
        </c:marker>
      </c:pivotFmt>
      <c:pivotFmt>
        <c:idx val="574"/>
        <c:marker>
          <c:symbol val="none"/>
        </c:marker>
      </c:pivotFmt>
      <c:pivotFmt>
        <c:idx val="575"/>
        <c:marker>
          <c:symbol val="none"/>
        </c:marker>
      </c:pivotFmt>
      <c:pivotFmt>
        <c:idx val="576"/>
        <c:marker>
          <c:symbol val="none"/>
        </c:marker>
      </c:pivotFmt>
      <c:pivotFmt>
        <c:idx val="577"/>
        <c:marker>
          <c:symbol val="none"/>
        </c:marker>
      </c:pivotFmt>
      <c:pivotFmt>
        <c:idx val="578"/>
        <c:marker>
          <c:symbol val="none"/>
        </c:marker>
      </c:pivotFmt>
      <c:pivotFmt>
        <c:idx val="579"/>
        <c:marker>
          <c:symbol val="none"/>
        </c:marker>
      </c:pivotFmt>
      <c:pivotFmt>
        <c:idx val="580"/>
        <c:marker>
          <c:symbol val="none"/>
        </c:marker>
      </c:pivotFmt>
      <c:pivotFmt>
        <c:idx val="581"/>
        <c:marker>
          <c:symbol val="none"/>
        </c:marker>
      </c:pivotFmt>
      <c:pivotFmt>
        <c:idx val="582"/>
        <c:marker>
          <c:symbol val="none"/>
        </c:marker>
      </c:pivotFmt>
      <c:pivotFmt>
        <c:idx val="583"/>
        <c:marker>
          <c:symbol val="none"/>
        </c:marker>
      </c:pivotFmt>
      <c:pivotFmt>
        <c:idx val="584"/>
        <c:marker>
          <c:symbol val="none"/>
        </c:marker>
      </c:pivotFmt>
      <c:pivotFmt>
        <c:idx val="585"/>
        <c:marker>
          <c:symbol val="none"/>
        </c:marker>
      </c:pivotFmt>
      <c:pivotFmt>
        <c:idx val="586"/>
        <c:marker>
          <c:symbol val="none"/>
        </c:marker>
      </c:pivotFmt>
      <c:pivotFmt>
        <c:idx val="587"/>
        <c:marker>
          <c:symbol val="none"/>
        </c:marker>
      </c:pivotFmt>
      <c:pivotFmt>
        <c:idx val="588"/>
        <c:marker>
          <c:symbol val="none"/>
        </c:marker>
      </c:pivotFmt>
      <c:pivotFmt>
        <c:idx val="589"/>
        <c:marker>
          <c:symbol val="none"/>
        </c:marker>
      </c:pivotFmt>
      <c:pivotFmt>
        <c:idx val="590"/>
        <c:marker>
          <c:symbol val="none"/>
        </c:marker>
      </c:pivotFmt>
      <c:pivotFmt>
        <c:idx val="591"/>
        <c:marker>
          <c:symbol val="none"/>
        </c:marker>
      </c:pivotFmt>
      <c:pivotFmt>
        <c:idx val="592"/>
        <c:marker>
          <c:symbol val="none"/>
        </c:marker>
      </c:pivotFmt>
      <c:pivotFmt>
        <c:idx val="593"/>
        <c:marker>
          <c:symbol val="none"/>
        </c:marker>
      </c:pivotFmt>
      <c:pivotFmt>
        <c:idx val="594"/>
        <c:marker>
          <c:symbol val="none"/>
        </c:marker>
      </c:pivotFmt>
      <c:pivotFmt>
        <c:idx val="595"/>
        <c:marker>
          <c:symbol val="none"/>
        </c:marker>
      </c:pivotFmt>
      <c:pivotFmt>
        <c:idx val="596"/>
        <c:marker>
          <c:symbol val="none"/>
        </c:marker>
      </c:pivotFmt>
      <c:pivotFmt>
        <c:idx val="597"/>
        <c:marker>
          <c:symbol val="none"/>
        </c:marker>
      </c:pivotFmt>
      <c:pivotFmt>
        <c:idx val="598"/>
        <c:marker>
          <c:symbol val="none"/>
        </c:marker>
      </c:pivotFmt>
      <c:pivotFmt>
        <c:idx val="599"/>
        <c:marker>
          <c:symbol val="none"/>
        </c:marker>
      </c:pivotFmt>
      <c:pivotFmt>
        <c:idx val="600"/>
        <c:marker>
          <c:symbol val="none"/>
        </c:marker>
      </c:pivotFmt>
      <c:pivotFmt>
        <c:idx val="601"/>
        <c:marker>
          <c:symbol val="none"/>
        </c:marker>
      </c:pivotFmt>
      <c:pivotFmt>
        <c:idx val="602"/>
        <c:marker>
          <c:symbol val="none"/>
        </c:marker>
      </c:pivotFmt>
      <c:pivotFmt>
        <c:idx val="603"/>
        <c:marker>
          <c:symbol val="none"/>
        </c:marker>
      </c:pivotFmt>
      <c:pivotFmt>
        <c:idx val="604"/>
        <c:marker>
          <c:symbol val="none"/>
        </c:marker>
      </c:pivotFmt>
      <c:pivotFmt>
        <c:idx val="605"/>
        <c:marker>
          <c:symbol val="none"/>
        </c:marker>
      </c:pivotFmt>
      <c:pivotFmt>
        <c:idx val="606"/>
        <c:marker>
          <c:symbol val="none"/>
        </c:marker>
      </c:pivotFmt>
      <c:pivotFmt>
        <c:idx val="607"/>
        <c:marker>
          <c:symbol val="none"/>
        </c:marker>
      </c:pivotFmt>
      <c:pivotFmt>
        <c:idx val="608"/>
        <c:marker>
          <c:symbol val="none"/>
        </c:marker>
      </c:pivotFmt>
      <c:pivotFmt>
        <c:idx val="609"/>
        <c:marker>
          <c:symbol val="none"/>
        </c:marker>
      </c:pivotFmt>
      <c:pivotFmt>
        <c:idx val="610"/>
        <c:marker>
          <c:symbol val="none"/>
        </c:marker>
      </c:pivotFmt>
      <c:pivotFmt>
        <c:idx val="611"/>
        <c:marker>
          <c:symbol val="none"/>
        </c:marker>
      </c:pivotFmt>
      <c:pivotFmt>
        <c:idx val="612"/>
        <c:marker>
          <c:symbol val="none"/>
        </c:marker>
      </c:pivotFmt>
      <c:pivotFmt>
        <c:idx val="613"/>
        <c:marker>
          <c:symbol val="none"/>
        </c:marker>
      </c:pivotFmt>
      <c:pivotFmt>
        <c:idx val="614"/>
        <c:marker>
          <c:symbol val="none"/>
        </c:marker>
      </c:pivotFmt>
      <c:pivotFmt>
        <c:idx val="615"/>
        <c:marker>
          <c:symbol val="none"/>
        </c:marker>
      </c:pivotFmt>
      <c:pivotFmt>
        <c:idx val="616"/>
        <c:marker>
          <c:symbol val="none"/>
        </c:marker>
      </c:pivotFmt>
      <c:pivotFmt>
        <c:idx val="617"/>
        <c:marker>
          <c:symbol val="none"/>
        </c:marker>
      </c:pivotFmt>
      <c:pivotFmt>
        <c:idx val="618"/>
        <c:marker>
          <c:symbol val="none"/>
        </c:marker>
      </c:pivotFmt>
      <c:pivotFmt>
        <c:idx val="619"/>
        <c:marker>
          <c:symbol val="none"/>
        </c:marker>
      </c:pivotFmt>
      <c:pivotFmt>
        <c:idx val="620"/>
        <c:marker>
          <c:symbol val="none"/>
        </c:marker>
      </c:pivotFmt>
      <c:pivotFmt>
        <c:idx val="621"/>
        <c:marker>
          <c:symbol val="none"/>
        </c:marker>
      </c:pivotFmt>
      <c:pivotFmt>
        <c:idx val="622"/>
        <c:marker>
          <c:symbol val="none"/>
        </c:marker>
      </c:pivotFmt>
      <c:pivotFmt>
        <c:idx val="623"/>
        <c:marker>
          <c:symbol val="none"/>
        </c:marker>
      </c:pivotFmt>
      <c:pivotFmt>
        <c:idx val="624"/>
        <c:marker>
          <c:symbol val="none"/>
        </c:marker>
      </c:pivotFmt>
      <c:pivotFmt>
        <c:idx val="625"/>
        <c:marker>
          <c:symbol val="none"/>
        </c:marker>
      </c:pivotFmt>
      <c:pivotFmt>
        <c:idx val="626"/>
        <c:marker>
          <c:symbol val="none"/>
        </c:marker>
      </c:pivotFmt>
      <c:pivotFmt>
        <c:idx val="627"/>
        <c:marker>
          <c:symbol val="none"/>
        </c:marker>
      </c:pivotFmt>
      <c:pivotFmt>
        <c:idx val="628"/>
        <c:marker>
          <c:symbol val="none"/>
        </c:marker>
      </c:pivotFmt>
      <c:pivotFmt>
        <c:idx val="629"/>
        <c:marker>
          <c:symbol val="none"/>
        </c:marker>
      </c:pivotFmt>
      <c:pivotFmt>
        <c:idx val="630"/>
        <c:marker>
          <c:symbol val="none"/>
        </c:marker>
      </c:pivotFmt>
      <c:pivotFmt>
        <c:idx val="631"/>
        <c:marker>
          <c:symbol val="none"/>
        </c:marker>
      </c:pivotFmt>
      <c:pivotFmt>
        <c:idx val="632"/>
        <c:marker>
          <c:symbol val="none"/>
        </c:marker>
      </c:pivotFmt>
      <c:pivotFmt>
        <c:idx val="633"/>
        <c:marker>
          <c:symbol val="none"/>
        </c:marker>
      </c:pivotFmt>
      <c:pivotFmt>
        <c:idx val="634"/>
        <c:marker>
          <c:symbol val="none"/>
        </c:marker>
      </c:pivotFmt>
      <c:pivotFmt>
        <c:idx val="635"/>
        <c:marker>
          <c:symbol val="none"/>
        </c:marker>
      </c:pivotFmt>
      <c:pivotFmt>
        <c:idx val="636"/>
        <c:marker>
          <c:symbol val="none"/>
        </c:marker>
      </c:pivotFmt>
      <c:pivotFmt>
        <c:idx val="637"/>
        <c:marker>
          <c:symbol val="none"/>
        </c:marker>
      </c:pivotFmt>
      <c:pivotFmt>
        <c:idx val="638"/>
        <c:marker>
          <c:symbol val="none"/>
        </c:marker>
      </c:pivotFmt>
      <c:pivotFmt>
        <c:idx val="639"/>
        <c:marker>
          <c:symbol val="none"/>
        </c:marker>
      </c:pivotFmt>
      <c:pivotFmt>
        <c:idx val="640"/>
        <c:marker>
          <c:symbol val="none"/>
        </c:marker>
      </c:pivotFmt>
      <c:pivotFmt>
        <c:idx val="641"/>
        <c:marker>
          <c:symbol val="none"/>
        </c:marker>
      </c:pivotFmt>
      <c:pivotFmt>
        <c:idx val="642"/>
        <c:marker>
          <c:symbol val="none"/>
        </c:marker>
      </c:pivotFmt>
      <c:pivotFmt>
        <c:idx val="643"/>
        <c:marker>
          <c:symbol val="none"/>
        </c:marker>
      </c:pivotFmt>
      <c:pivotFmt>
        <c:idx val="644"/>
        <c:marker>
          <c:symbol val="none"/>
        </c:marker>
      </c:pivotFmt>
      <c:pivotFmt>
        <c:idx val="645"/>
        <c:marker>
          <c:symbol val="none"/>
        </c:marker>
      </c:pivotFmt>
      <c:pivotFmt>
        <c:idx val="646"/>
        <c:marker>
          <c:symbol val="none"/>
        </c:marker>
      </c:pivotFmt>
      <c:pivotFmt>
        <c:idx val="647"/>
        <c:marker>
          <c:symbol val="none"/>
        </c:marker>
      </c:pivotFmt>
      <c:pivotFmt>
        <c:idx val="648"/>
        <c:marker>
          <c:symbol val="none"/>
        </c:marker>
      </c:pivotFmt>
      <c:pivotFmt>
        <c:idx val="649"/>
        <c:marker>
          <c:symbol val="none"/>
        </c:marker>
      </c:pivotFmt>
      <c:pivotFmt>
        <c:idx val="650"/>
        <c:marker>
          <c:symbol val="none"/>
        </c:marker>
      </c:pivotFmt>
      <c:pivotFmt>
        <c:idx val="651"/>
        <c:marker>
          <c:symbol val="none"/>
        </c:marker>
      </c:pivotFmt>
      <c:pivotFmt>
        <c:idx val="652"/>
        <c:marker>
          <c:symbol val="none"/>
        </c:marker>
      </c:pivotFmt>
      <c:pivotFmt>
        <c:idx val="653"/>
        <c:marker>
          <c:symbol val="none"/>
        </c:marker>
      </c:pivotFmt>
      <c:pivotFmt>
        <c:idx val="654"/>
        <c:marker>
          <c:symbol val="none"/>
        </c:marker>
      </c:pivotFmt>
      <c:pivotFmt>
        <c:idx val="655"/>
        <c:marker>
          <c:symbol val="none"/>
        </c:marker>
      </c:pivotFmt>
      <c:pivotFmt>
        <c:idx val="656"/>
        <c:marker>
          <c:symbol val="none"/>
        </c:marker>
      </c:pivotFmt>
      <c:pivotFmt>
        <c:idx val="657"/>
        <c:marker>
          <c:symbol val="none"/>
        </c:marker>
      </c:pivotFmt>
      <c:pivotFmt>
        <c:idx val="658"/>
        <c:marker>
          <c:symbol val="none"/>
        </c:marker>
      </c:pivotFmt>
      <c:pivotFmt>
        <c:idx val="659"/>
        <c:marker>
          <c:symbol val="none"/>
        </c:marker>
      </c:pivotFmt>
      <c:pivotFmt>
        <c:idx val="660"/>
        <c:marker>
          <c:symbol val="none"/>
        </c:marker>
      </c:pivotFmt>
      <c:pivotFmt>
        <c:idx val="661"/>
        <c:marker>
          <c:symbol val="none"/>
        </c:marker>
      </c:pivotFmt>
      <c:pivotFmt>
        <c:idx val="662"/>
        <c:marker>
          <c:symbol val="none"/>
        </c:marker>
      </c:pivotFmt>
      <c:pivotFmt>
        <c:idx val="663"/>
        <c:marker>
          <c:symbol val="none"/>
        </c:marker>
      </c:pivotFmt>
      <c:pivotFmt>
        <c:idx val="664"/>
        <c:marker>
          <c:symbol val="none"/>
        </c:marker>
      </c:pivotFmt>
      <c:pivotFmt>
        <c:idx val="665"/>
        <c:marker>
          <c:symbol val="none"/>
        </c:marker>
      </c:pivotFmt>
      <c:pivotFmt>
        <c:idx val="666"/>
        <c:marker>
          <c:symbol val="none"/>
        </c:marker>
      </c:pivotFmt>
      <c:pivotFmt>
        <c:idx val="667"/>
        <c:marker>
          <c:symbol val="none"/>
        </c:marker>
      </c:pivotFmt>
      <c:pivotFmt>
        <c:idx val="668"/>
        <c:marker>
          <c:symbol val="none"/>
        </c:marker>
      </c:pivotFmt>
      <c:pivotFmt>
        <c:idx val="669"/>
        <c:marker>
          <c:symbol val="none"/>
        </c:marker>
      </c:pivotFmt>
      <c:pivotFmt>
        <c:idx val="670"/>
        <c:marker>
          <c:symbol val="none"/>
        </c:marker>
      </c:pivotFmt>
      <c:pivotFmt>
        <c:idx val="671"/>
        <c:marker>
          <c:symbol val="none"/>
        </c:marker>
      </c:pivotFmt>
      <c:pivotFmt>
        <c:idx val="672"/>
        <c:marker>
          <c:symbol val="none"/>
        </c:marker>
      </c:pivotFmt>
      <c:pivotFmt>
        <c:idx val="673"/>
        <c:marker>
          <c:symbol val="none"/>
        </c:marker>
      </c:pivotFmt>
      <c:pivotFmt>
        <c:idx val="674"/>
        <c:marker>
          <c:symbol val="none"/>
        </c:marker>
      </c:pivotFmt>
      <c:pivotFmt>
        <c:idx val="675"/>
        <c:marker>
          <c:symbol val="none"/>
        </c:marker>
      </c:pivotFmt>
      <c:pivotFmt>
        <c:idx val="676"/>
        <c:marker>
          <c:symbol val="none"/>
        </c:marker>
      </c:pivotFmt>
      <c:pivotFmt>
        <c:idx val="677"/>
        <c:marker>
          <c:symbol val="none"/>
        </c:marker>
      </c:pivotFmt>
      <c:pivotFmt>
        <c:idx val="678"/>
        <c:marker>
          <c:symbol val="none"/>
        </c:marker>
      </c:pivotFmt>
      <c:pivotFmt>
        <c:idx val="679"/>
        <c:marker>
          <c:symbol val="none"/>
        </c:marker>
      </c:pivotFmt>
      <c:pivotFmt>
        <c:idx val="680"/>
        <c:marker>
          <c:symbol val="none"/>
        </c:marker>
      </c:pivotFmt>
      <c:pivotFmt>
        <c:idx val="681"/>
        <c:marker>
          <c:symbol val="none"/>
        </c:marker>
      </c:pivotFmt>
      <c:pivotFmt>
        <c:idx val="682"/>
        <c:marker>
          <c:symbol val="none"/>
        </c:marker>
      </c:pivotFmt>
      <c:pivotFmt>
        <c:idx val="683"/>
        <c:marker>
          <c:symbol val="none"/>
        </c:marker>
      </c:pivotFmt>
      <c:pivotFmt>
        <c:idx val="684"/>
        <c:marker>
          <c:symbol val="none"/>
        </c:marker>
      </c:pivotFmt>
      <c:pivotFmt>
        <c:idx val="685"/>
        <c:marker>
          <c:symbol val="none"/>
        </c:marker>
      </c:pivotFmt>
      <c:pivotFmt>
        <c:idx val="686"/>
        <c:marker>
          <c:symbol val="none"/>
        </c:marker>
      </c:pivotFmt>
      <c:pivotFmt>
        <c:idx val="687"/>
        <c:marker>
          <c:symbol val="none"/>
        </c:marker>
      </c:pivotFmt>
      <c:pivotFmt>
        <c:idx val="688"/>
        <c:marker>
          <c:symbol val="none"/>
        </c:marker>
      </c:pivotFmt>
      <c:pivotFmt>
        <c:idx val="689"/>
        <c:marker>
          <c:symbol val="none"/>
        </c:marker>
      </c:pivotFmt>
      <c:pivotFmt>
        <c:idx val="690"/>
        <c:marker>
          <c:symbol val="none"/>
        </c:marker>
      </c:pivotFmt>
      <c:pivotFmt>
        <c:idx val="691"/>
        <c:marker>
          <c:symbol val="none"/>
        </c:marker>
      </c:pivotFmt>
      <c:pivotFmt>
        <c:idx val="692"/>
        <c:marker>
          <c:symbol val="none"/>
        </c:marker>
      </c:pivotFmt>
      <c:pivotFmt>
        <c:idx val="693"/>
        <c:marker>
          <c:symbol val="none"/>
        </c:marker>
      </c:pivotFmt>
      <c:pivotFmt>
        <c:idx val="694"/>
        <c:marker>
          <c:symbol val="none"/>
        </c:marker>
      </c:pivotFmt>
      <c:pivotFmt>
        <c:idx val="695"/>
        <c:marker>
          <c:symbol val="none"/>
        </c:marker>
      </c:pivotFmt>
      <c:pivotFmt>
        <c:idx val="696"/>
        <c:marker>
          <c:symbol val="none"/>
        </c:marker>
      </c:pivotFmt>
      <c:pivotFmt>
        <c:idx val="697"/>
        <c:marker>
          <c:symbol val="none"/>
        </c:marker>
      </c:pivotFmt>
      <c:pivotFmt>
        <c:idx val="698"/>
        <c:marker>
          <c:symbol val="none"/>
        </c:marker>
      </c:pivotFmt>
      <c:pivotFmt>
        <c:idx val="699"/>
        <c:marker>
          <c:symbol val="none"/>
        </c:marker>
      </c:pivotFmt>
      <c:pivotFmt>
        <c:idx val="700"/>
        <c:marker>
          <c:symbol val="none"/>
        </c:marker>
      </c:pivotFmt>
      <c:pivotFmt>
        <c:idx val="701"/>
        <c:marker>
          <c:symbol val="none"/>
        </c:marker>
      </c:pivotFmt>
      <c:pivotFmt>
        <c:idx val="702"/>
        <c:marker>
          <c:symbol val="none"/>
        </c:marker>
      </c:pivotFmt>
      <c:pivotFmt>
        <c:idx val="703"/>
        <c:marker>
          <c:symbol val="none"/>
        </c:marker>
      </c:pivotFmt>
      <c:pivotFmt>
        <c:idx val="704"/>
        <c:marker>
          <c:symbol val="none"/>
        </c:marker>
      </c:pivotFmt>
      <c:pivotFmt>
        <c:idx val="705"/>
        <c:marker>
          <c:symbol val="none"/>
        </c:marker>
      </c:pivotFmt>
      <c:pivotFmt>
        <c:idx val="706"/>
        <c:marker>
          <c:symbol val="none"/>
        </c:marker>
      </c:pivotFmt>
      <c:pivotFmt>
        <c:idx val="707"/>
        <c:marker>
          <c:symbol val="none"/>
        </c:marker>
      </c:pivotFmt>
    </c:pivotFmts>
    <c:plotArea>
      <c:layout/>
      <c:barChart>
        <c:barDir val="col"/>
        <c:grouping val="stacked"/>
        <c:varyColors val="0"/>
        <c:ser>
          <c:idx val="0"/>
          <c:order val="0"/>
          <c:tx>
            <c:strRef>
              <c:f>'comparators (2)'!$B$37</c:f>
              <c:strCache>
                <c:ptCount val="1"/>
                <c:pt idx="0">
                  <c:v>Sum of NHS Days</c:v>
                </c:pt>
              </c:strCache>
            </c:strRef>
          </c:tx>
          <c:invertIfNegative val="0"/>
          <c:cat>
            <c:multiLvlStrRef>
              <c:f>'comparators (2)'!$A$38:$A$56</c:f>
              <c:multiLvlStrCache>
                <c:ptCount val="12"/>
                <c:lvl>
                  <c:pt idx="0">
                    <c:v>Acute</c:v>
                  </c:pt>
                  <c:pt idx="1">
                    <c:v>Non-Acute</c:v>
                  </c:pt>
                  <c:pt idx="2">
                    <c:v>Acute</c:v>
                  </c:pt>
                  <c:pt idx="3">
                    <c:v>Non-Acute</c:v>
                  </c:pt>
                  <c:pt idx="4">
                    <c:v>Acute</c:v>
                  </c:pt>
                  <c:pt idx="5">
                    <c:v>Non-Acute</c:v>
                  </c:pt>
                  <c:pt idx="6">
                    <c:v>Acute</c:v>
                  </c:pt>
                  <c:pt idx="7">
                    <c:v>Non-Acute</c:v>
                  </c:pt>
                  <c:pt idx="8">
                    <c:v>Acute</c:v>
                  </c:pt>
                  <c:pt idx="9">
                    <c:v>Non-Acute</c:v>
                  </c:pt>
                  <c:pt idx="10">
                    <c:v>Acute</c:v>
                  </c:pt>
                  <c:pt idx="11">
                    <c:v>Non-Acute</c:v>
                  </c:pt>
                </c:lvl>
                <c:lvl>
                  <c:pt idx="0">
                    <c:v>BLACKPOOL TEACHING HOSPITALS NHS FOUNDATION TRUST</c:v>
                  </c:pt>
                  <c:pt idx="2">
                    <c:v>EAST LANCASHIRE HOSPITALS NHS TRUST</c:v>
                  </c:pt>
                  <c:pt idx="4">
                    <c:v>LANCASHIRE CARE NHS FOUNDATION TRUST</c:v>
                  </c:pt>
                  <c:pt idx="6">
                    <c:v>LANCASHIRE TEACHING HOSPITALS NHS FOUNDATION TRUST</c:v>
                  </c:pt>
                  <c:pt idx="8">
                    <c:v>SOUTHPORT AND ORMSKIRK HOSPITAL NHS TRUST</c:v>
                  </c:pt>
                  <c:pt idx="10">
                    <c:v>UNIVERSITY HOSPITALS OF MORECAMBE BAY NHS FOUNDATION TRUST</c:v>
                  </c:pt>
                </c:lvl>
              </c:multiLvlStrCache>
            </c:multiLvlStrRef>
          </c:cat>
          <c:val>
            <c:numRef>
              <c:f>'comparators (2)'!$B$38:$B$56</c:f>
              <c:numCache>
                <c:formatCode>General</c:formatCode>
                <c:ptCount val="12"/>
                <c:pt idx="0">
                  <c:v>121</c:v>
                </c:pt>
                <c:pt idx="1">
                  <c:v>57</c:v>
                </c:pt>
                <c:pt idx="2">
                  <c:v>195</c:v>
                </c:pt>
                <c:pt idx="3">
                  <c:v>224</c:v>
                </c:pt>
                <c:pt idx="4">
                  <c:v>0</c:v>
                </c:pt>
                <c:pt idx="5">
                  <c:v>93</c:v>
                </c:pt>
                <c:pt idx="6">
                  <c:v>505</c:v>
                </c:pt>
                <c:pt idx="7">
                  <c:v>0</c:v>
                </c:pt>
                <c:pt idx="8">
                  <c:v>49</c:v>
                </c:pt>
                <c:pt idx="9">
                  <c:v>0</c:v>
                </c:pt>
                <c:pt idx="10">
                  <c:v>220</c:v>
                </c:pt>
                <c:pt idx="11">
                  <c:v>0</c:v>
                </c:pt>
              </c:numCache>
            </c:numRef>
          </c:val>
        </c:ser>
        <c:ser>
          <c:idx val="1"/>
          <c:order val="1"/>
          <c:tx>
            <c:strRef>
              <c:f>'comparators (2)'!$C$37</c:f>
              <c:strCache>
                <c:ptCount val="1"/>
                <c:pt idx="0">
                  <c:v>Sum of Social Care Days</c:v>
                </c:pt>
              </c:strCache>
            </c:strRef>
          </c:tx>
          <c:invertIfNegative val="0"/>
          <c:cat>
            <c:multiLvlStrRef>
              <c:f>'comparators (2)'!$A$38:$A$56</c:f>
              <c:multiLvlStrCache>
                <c:ptCount val="12"/>
                <c:lvl>
                  <c:pt idx="0">
                    <c:v>Acute</c:v>
                  </c:pt>
                  <c:pt idx="1">
                    <c:v>Non-Acute</c:v>
                  </c:pt>
                  <c:pt idx="2">
                    <c:v>Acute</c:v>
                  </c:pt>
                  <c:pt idx="3">
                    <c:v>Non-Acute</c:v>
                  </c:pt>
                  <c:pt idx="4">
                    <c:v>Acute</c:v>
                  </c:pt>
                  <c:pt idx="5">
                    <c:v>Non-Acute</c:v>
                  </c:pt>
                  <c:pt idx="6">
                    <c:v>Acute</c:v>
                  </c:pt>
                  <c:pt idx="7">
                    <c:v>Non-Acute</c:v>
                  </c:pt>
                  <c:pt idx="8">
                    <c:v>Acute</c:v>
                  </c:pt>
                  <c:pt idx="9">
                    <c:v>Non-Acute</c:v>
                  </c:pt>
                  <c:pt idx="10">
                    <c:v>Acute</c:v>
                  </c:pt>
                  <c:pt idx="11">
                    <c:v>Non-Acute</c:v>
                  </c:pt>
                </c:lvl>
                <c:lvl>
                  <c:pt idx="0">
                    <c:v>BLACKPOOL TEACHING HOSPITALS NHS FOUNDATION TRUST</c:v>
                  </c:pt>
                  <c:pt idx="2">
                    <c:v>EAST LANCASHIRE HOSPITALS NHS TRUST</c:v>
                  </c:pt>
                  <c:pt idx="4">
                    <c:v>LANCASHIRE CARE NHS FOUNDATION TRUST</c:v>
                  </c:pt>
                  <c:pt idx="6">
                    <c:v>LANCASHIRE TEACHING HOSPITALS NHS FOUNDATION TRUST</c:v>
                  </c:pt>
                  <c:pt idx="8">
                    <c:v>SOUTHPORT AND ORMSKIRK HOSPITAL NHS TRUST</c:v>
                  </c:pt>
                  <c:pt idx="10">
                    <c:v>UNIVERSITY HOSPITALS OF MORECAMBE BAY NHS FOUNDATION TRUST</c:v>
                  </c:pt>
                </c:lvl>
              </c:multiLvlStrCache>
            </c:multiLvlStrRef>
          </c:cat>
          <c:val>
            <c:numRef>
              <c:f>'comparators (2)'!$C$38:$C$56</c:f>
              <c:numCache>
                <c:formatCode>General</c:formatCode>
                <c:ptCount val="12"/>
                <c:pt idx="0">
                  <c:v>117</c:v>
                </c:pt>
                <c:pt idx="1">
                  <c:v>58</c:v>
                </c:pt>
                <c:pt idx="2">
                  <c:v>0</c:v>
                </c:pt>
                <c:pt idx="3">
                  <c:v>130</c:v>
                </c:pt>
                <c:pt idx="4">
                  <c:v>0</c:v>
                </c:pt>
                <c:pt idx="5">
                  <c:v>0</c:v>
                </c:pt>
                <c:pt idx="6">
                  <c:v>677</c:v>
                </c:pt>
                <c:pt idx="7">
                  <c:v>0</c:v>
                </c:pt>
                <c:pt idx="8">
                  <c:v>7</c:v>
                </c:pt>
                <c:pt idx="9">
                  <c:v>0</c:v>
                </c:pt>
                <c:pt idx="10">
                  <c:v>191</c:v>
                </c:pt>
                <c:pt idx="11">
                  <c:v>0</c:v>
                </c:pt>
              </c:numCache>
            </c:numRef>
          </c:val>
        </c:ser>
        <c:ser>
          <c:idx val="2"/>
          <c:order val="2"/>
          <c:tx>
            <c:strRef>
              <c:f>'comparators (2)'!$D$37</c:f>
              <c:strCache>
                <c:ptCount val="1"/>
                <c:pt idx="0">
                  <c:v>Sum of NHS and Social Care Days</c:v>
                </c:pt>
              </c:strCache>
            </c:strRef>
          </c:tx>
          <c:invertIfNegative val="0"/>
          <c:cat>
            <c:multiLvlStrRef>
              <c:f>'comparators (2)'!$A$38:$A$56</c:f>
              <c:multiLvlStrCache>
                <c:ptCount val="12"/>
                <c:lvl>
                  <c:pt idx="0">
                    <c:v>Acute</c:v>
                  </c:pt>
                  <c:pt idx="1">
                    <c:v>Non-Acute</c:v>
                  </c:pt>
                  <c:pt idx="2">
                    <c:v>Acute</c:v>
                  </c:pt>
                  <c:pt idx="3">
                    <c:v>Non-Acute</c:v>
                  </c:pt>
                  <c:pt idx="4">
                    <c:v>Acute</c:v>
                  </c:pt>
                  <c:pt idx="5">
                    <c:v>Non-Acute</c:v>
                  </c:pt>
                  <c:pt idx="6">
                    <c:v>Acute</c:v>
                  </c:pt>
                  <c:pt idx="7">
                    <c:v>Non-Acute</c:v>
                  </c:pt>
                  <c:pt idx="8">
                    <c:v>Acute</c:v>
                  </c:pt>
                  <c:pt idx="9">
                    <c:v>Non-Acute</c:v>
                  </c:pt>
                  <c:pt idx="10">
                    <c:v>Acute</c:v>
                  </c:pt>
                  <c:pt idx="11">
                    <c:v>Non-Acute</c:v>
                  </c:pt>
                </c:lvl>
                <c:lvl>
                  <c:pt idx="0">
                    <c:v>BLACKPOOL TEACHING HOSPITALS NHS FOUNDATION TRUST</c:v>
                  </c:pt>
                  <c:pt idx="2">
                    <c:v>EAST LANCASHIRE HOSPITALS NHS TRUST</c:v>
                  </c:pt>
                  <c:pt idx="4">
                    <c:v>LANCASHIRE CARE NHS FOUNDATION TRUST</c:v>
                  </c:pt>
                  <c:pt idx="6">
                    <c:v>LANCASHIRE TEACHING HOSPITALS NHS FOUNDATION TRUST</c:v>
                  </c:pt>
                  <c:pt idx="8">
                    <c:v>SOUTHPORT AND ORMSKIRK HOSPITAL NHS TRUST</c:v>
                  </c:pt>
                  <c:pt idx="10">
                    <c:v>UNIVERSITY HOSPITALS OF MORECAMBE BAY NHS FOUNDATION TRUST</c:v>
                  </c:pt>
                </c:lvl>
              </c:multiLvlStrCache>
            </c:multiLvlStrRef>
          </c:cat>
          <c:val>
            <c:numRef>
              <c:f>'comparators (2)'!$D$38:$D$56</c:f>
              <c:numCache>
                <c:formatCode>General</c:formatCode>
                <c:ptCount val="12"/>
                <c:pt idx="0">
                  <c:v>18</c:v>
                </c:pt>
                <c:pt idx="1">
                  <c:v>0</c:v>
                </c:pt>
                <c:pt idx="2">
                  <c:v>0</c:v>
                </c:pt>
                <c:pt idx="3">
                  <c:v>2</c:v>
                </c:pt>
                <c:pt idx="4">
                  <c:v>0</c:v>
                </c:pt>
                <c:pt idx="5">
                  <c:v>104</c:v>
                </c:pt>
                <c:pt idx="6">
                  <c:v>29</c:v>
                </c:pt>
                <c:pt idx="7">
                  <c:v>0</c:v>
                </c:pt>
                <c:pt idx="8">
                  <c:v>0</c:v>
                </c:pt>
                <c:pt idx="9">
                  <c:v>0</c:v>
                </c:pt>
                <c:pt idx="10">
                  <c:v>0</c:v>
                </c:pt>
                <c:pt idx="11">
                  <c:v>0</c:v>
                </c:pt>
              </c:numCache>
            </c:numRef>
          </c:val>
        </c:ser>
        <c:dLbls>
          <c:showLegendKey val="0"/>
          <c:showVal val="0"/>
          <c:showCatName val="0"/>
          <c:showSerName val="0"/>
          <c:showPercent val="0"/>
          <c:showBubbleSize val="0"/>
        </c:dLbls>
        <c:gapWidth val="150"/>
        <c:overlap val="100"/>
        <c:axId val="343339880"/>
        <c:axId val="343340272"/>
      </c:barChart>
      <c:catAx>
        <c:axId val="343339880"/>
        <c:scaling>
          <c:orientation val="minMax"/>
        </c:scaling>
        <c:delete val="0"/>
        <c:axPos val="b"/>
        <c:numFmt formatCode="General" sourceLinked="0"/>
        <c:majorTickMark val="out"/>
        <c:minorTickMark val="none"/>
        <c:tickLblPos val="nextTo"/>
        <c:txPr>
          <a:bodyPr/>
          <a:lstStyle/>
          <a:p>
            <a:pPr>
              <a:defRPr sz="800" baseline="0"/>
            </a:pPr>
            <a:endParaRPr lang="en-US"/>
          </a:p>
        </c:txPr>
        <c:crossAx val="343340272"/>
        <c:crosses val="autoZero"/>
        <c:auto val="1"/>
        <c:lblAlgn val="ctr"/>
        <c:lblOffset val="100"/>
        <c:noMultiLvlLbl val="0"/>
      </c:catAx>
      <c:valAx>
        <c:axId val="343340272"/>
        <c:scaling>
          <c:orientation val="minMax"/>
        </c:scaling>
        <c:delete val="0"/>
        <c:axPos val="l"/>
        <c:majorGridlines/>
        <c:numFmt formatCode="General" sourceLinked="1"/>
        <c:majorTickMark val="out"/>
        <c:minorTickMark val="none"/>
        <c:tickLblPos val="nextTo"/>
        <c:crossAx val="343339880"/>
        <c:crosses val="autoZero"/>
        <c:crossBetween val="between"/>
      </c:valAx>
    </c:plotArea>
    <c:legend>
      <c:legendPos val="b"/>
      <c:layout/>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[DTOC 2016_17 to 2018_19 revised1.xlsx]comparators (2)!PivotTable2</c:name>
    <c:fmtId val="865"/>
  </c:pivotSource>
  <c:chart>
    <c:title>
      <c:tx>
        <c:rich>
          <a:bodyPr/>
          <a:lstStyle/>
          <a:p>
            <a:pPr>
              <a:defRPr/>
            </a:pPr>
            <a:r>
              <a:rPr lang="en-GB" sz="1200" b="1" i="0" baseline="0">
                <a:effectLst/>
              </a:rPr>
              <a:t>Blackpool acute/non-acute trend for social care delays - Lancashire </a:t>
            </a:r>
            <a:endParaRPr lang="en-GB" sz="1200">
              <a:effectLst/>
            </a:endParaRPr>
          </a:p>
        </c:rich>
      </c:tx>
      <c:layout>
        <c:manualLayout>
          <c:xMode val="edge"/>
          <c:yMode val="edge"/>
          <c:x val="0.14552071512125286"/>
          <c:y val="3.0293665236414066E-2"/>
        </c:manualLayout>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pivotFmt>
      <c:pivotFmt>
        <c:idx val="61"/>
        <c:marker>
          <c:symbol val="none"/>
        </c:marker>
      </c:pivotFmt>
      <c:pivotFmt>
        <c:idx val="62"/>
        <c:marker>
          <c:symbol val="none"/>
        </c:marker>
      </c:pivotFmt>
      <c:pivotFmt>
        <c:idx val="63"/>
        <c:marker>
          <c:symbol val="none"/>
        </c:marker>
      </c:pivotFmt>
      <c:pivotFmt>
        <c:idx val="64"/>
        <c:marker>
          <c:symbol val="none"/>
        </c:marker>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pivotFmt>
      <c:pivotFmt>
        <c:idx val="76"/>
        <c:marker>
          <c:symbol val="none"/>
        </c:marker>
      </c:pivotFmt>
      <c:pivotFmt>
        <c:idx val="77"/>
        <c:marker>
          <c:symbol val="none"/>
        </c:marker>
      </c:pivotFmt>
      <c:pivotFmt>
        <c:idx val="78"/>
        <c:marker>
          <c:symbol val="none"/>
        </c:marker>
      </c:pivotFmt>
      <c:pivotFmt>
        <c:idx val="79"/>
        <c:marker>
          <c:symbol val="none"/>
        </c:marker>
      </c:pivotFmt>
      <c:pivotFmt>
        <c:idx val="80"/>
        <c:marker>
          <c:symbol val="none"/>
        </c:marker>
      </c:pivotFmt>
      <c:pivotFmt>
        <c:idx val="81"/>
        <c:marker>
          <c:symbol val="none"/>
        </c:marker>
      </c:pivotFmt>
      <c:pivotFmt>
        <c:idx val="82"/>
        <c:marker>
          <c:symbol val="none"/>
        </c:marker>
      </c:pivotFmt>
      <c:pivotFmt>
        <c:idx val="83"/>
        <c:marker>
          <c:symbol val="none"/>
        </c:marker>
      </c:pivotFmt>
      <c:pivotFmt>
        <c:idx val="84"/>
        <c:marker>
          <c:symbol val="none"/>
        </c:marker>
      </c:pivotFmt>
      <c:pivotFmt>
        <c:idx val="85"/>
        <c:marker>
          <c:symbol val="none"/>
        </c:marker>
      </c:pivotFmt>
      <c:pivotFmt>
        <c:idx val="86"/>
        <c:marker>
          <c:symbol val="none"/>
        </c:marker>
      </c:pivotFmt>
      <c:pivotFmt>
        <c:idx val="87"/>
        <c:marker>
          <c:symbol val="none"/>
        </c:marker>
      </c:pivotFmt>
      <c:pivotFmt>
        <c:idx val="88"/>
        <c:marker>
          <c:symbol val="none"/>
        </c:marker>
      </c:pivotFmt>
      <c:pivotFmt>
        <c:idx val="89"/>
        <c:marker>
          <c:symbol val="none"/>
        </c:marker>
      </c:pivotFmt>
      <c:pivotFmt>
        <c:idx val="90"/>
        <c:marker>
          <c:symbol val="none"/>
        </c:marker>
      </c:pivotFmt>
      <c:pivotFmt>
        <c:idx val="91"/>
        <c:marker>
          <c:symbol val="none"/>
        </c:marker>
      </c:pivotFmt>
      <c:pivotFmt>
        <c:idx val="92"/>
        <c:marker>
          <c:symbol val="none"/>
        </c:marker>
      </c:pivotFmt>
      <c:pivotFmt>
        <c:idx val="93"/>
        <c:marker>
          <c:symbol val="none"/>
        </c:marker>
      </c:pivotFmt>
      <c:pivotFmt>
        <c:idx val="94"/>
        <c:marker>
          <c:symbol val="none"/>
        </c:marker>
      </c:pivotFmt>
      <c:pivotFmt>
        <c:idx val="95"/>
        <c:marker>
          <c:symbol val="none"/>
        </c:marker>
      </c:pivotFmt>
      <c:pivotFmt>
        <c:idx val="96"/>
        <c:marker>
          <c:symbol val="none"/>
        </c:marker>
      </c:pivotFmt>
      <c:pivotFmt>
        <c:idx val="97"/>
        <c:marker>
          <c:symbol val="none"/>
        </c:marker>
      </c:pivotFmt>
      <c:pivotFmt>
        <c:idx val="98"/>
        <c:marker>
          <c:symbol val="none"/>
        </c:marker>
      </c:pivotFmt>
      <c:pivotFmt>
        <c:idx val="99"/>
        <c:marker>
          <c:symbol val="none"/>
        </c:marker>
      </c:pivotFmt>
      <c:pivotFmt>
        <c:idx val="100"/>
        <c:marker>
          <c:symbol val="none"/>
        </c:marker>
      </c:pivotFmt>
      <c:pivotFmt>
        <c:idx val="101"/>
      </c:pivotFmt>
      <c:pivotFmt>
        <c:idx val="102"/>
        <c:marker>
          <c:symbol val="none"/>
        </c:marker>
      </c:pivotFmt>
      <c:pivotFmt>
        <c:idx val="103"/>
        <c:marker>
          <c:symbol val="none"/>
        </c:marker>
      </c:pivotFmt>
      <c:pivotFmt>
        <c:idx val="104"/>
        <c:marker>
          <c:symbol val="none"/>
        </c:marker>
      </c:pivotFmt>
      <c:pivotFmt>
        <c:idx val="105"/>
      </c:pivotFmt>
      <c:pivotFmt>
        <c:idx val="106"/>
      </c:pivotFmt>
      <c:pivotFmt>
        <c:idx val="107"/>
      </c:pivotFmt>
      <c:pivotFmt>
        <c:idx val="108"/>
      </c:pivotFmt>
      <c:pivotFmt>
        <c:idx val="109"/>
      </c:pivotFmt>
      <c:pivotFmt>
        <c:idx val="110"/>
      </c:pivotFmt>
      <c:pivotFmt>
        <c:idx val="111"/>
      </c:pivotFmt>
      <c:pivotFmt>
        <c:idx val="112"/>
      </c:pivotFmt>
      <c:pivotFmt>
        <c:idx val="113"/>
      </c:pivotFmt>
      <c:pivotFmt>
        <c:idx val="114"/>
      </c:pivotFmt>
      <c:pivotFmt>
        <c:idx val="115"/>
      </c:pivotFmt>
      <c:pivotFmt>
        <c:idx val="116"/>
      </c:pivotFmt>
      <c:pivotFmt>
        <c:idx val="117"/>
      </c:pivotFmt>
      <c:pivotFmt>
        <c:idx val="118"/>
      </c:pivotFmt>
      <c:pivotFmt>
        <c:idx val="119"/>
      </c:pivotFmt>
      <c:pivotFmt>
        <c:idx val="120"/>
      </c:pivotFmt>
      <c:pivotFmt>
        <c:idx val="121"/>
      </c:pivotFmt>
      <c:pivotFmt>
        <c:idx val="122"/>
      </c:pivotFmt>
      <c:pivotFmt>
        <c:idx val="123"/>
        <c:marker>
          <c:symbol val="none"/>
        </c:marker>
      </c:pivotFmt>
      <c:pivotFmt>
        <c:idx val="124"/>
        <c:marker>
          <c:symbol val="none"/>
        </c:marker>
      </c:pivotFmt>
      <c:pivotFmt>
        <c:idx val="125"/>
        <c:marker>
          <c:symbol val="none"/>
        </c:marker>
      </c:pivotFmt>
      <c:pivotFmt>
        <c:idx val="126"/>
        <c:marker>
          <c:symbol val="none"/>
        </c:marker>
      </c:pivotFmt>
      <c:pivotFmt>
        <c:idx val="127"/>
        <c:marker>
          <c:symbol val="none"/>
        </c:marker>
      </c:pivotFmt>
      <c:pivotFmt>
        <c:idx val="128"/>
        <c:marker>
          <c:symbol val="none"/>
        </c:marker>
      </c:pivotFmt>
      <c:pivotFmt>
        <c:idx val="129"/>
        <c:marker>
          <c:symbol val="none"/>
        </c:marker>
      </c:pivotFmt>
      <c:pivotFmt>
        <c:idx val="130"/>
        <c:marker>
          <c:symbol val="none"/>
        </c:marker>
      </c:pivotFmt>
      <c:pivotFmt>
        <c:idx val="131"/>
        <c:marker>
          <c:symbol val="none"/>
        </c:marker>
      </c:pivotFmt>
      <c:pivotFmt>
        <c:idx val="132"/>
        <c:marker>
          <c:symbol val="none"/>
        </c:marker>
      </c:pivotFmt>
      <c:pivotFmt>
        <c:idx val="133"/>
        <c:marker>
          <c:symbol val="none"/>
        </c:marker>
      </c:pivotFmt>
      <c:pivotFmt>
        <c:idx val="134"/>
        <c:marker>
          <c:symbol val="none"/>
        </c:marker>
      </c:pivotFmt>
      <c:pivotFmt>
        <c:idx val="135"/>
        <c:marker>
          <c:symbol val="none"/>
        </c:marker>
      </c:pivotFmt>
      <c:pivotFmt>
        <c:idx val="136"/>
        <c:marker>
          <c:symbol val="none"/>
        </c:marker>
      </c:pivotFmt>
      <c:pivotFmt>
        <c:idx val="137"/>
        <c:marker>
          <c:symbol val="none"/>
        </c:marker>
      </c:pivotFmt>
      <c:pivotFmt>
        <c:idx val="138"/>
        <c:marker>
          <c:symbol val="none"/>
        </c:marker>
      </c:pivotFmt>
      <c:pivotFmt>
        <c:idx val="139"/>
        <c:marker>
          <c:symbol val="none"/>
        </c:marker>
      </c:pivotFmt>
      <c:pivotFmt>
        <c:idx val="140"/>
        <c:marker>
          <c:symbol val="none"/>
        </c:marker>
      </c:pivotFmt>
      <c:pivotFmt>
        <c:idx val="141"/>
        <c:marker>
          <c:symbol val="none"/>
        </c:marker>
      </c:pivotFmt>
      <c:pivotFmt>
        <c:idx val="142"/>
        <c:marker>
          <c:symbol val="none"/>
        </c:marker>
      </c:pivotFmt>
      <c:pivotFmt>
        <c:idx val="143"/>
        <c:marker>
          <c:symbol val="none"/>
        </c:marker>
      </c:pivotFmt>
      <c:pivotFmt>
        <c:idx val="144"/>
        <c:marker>
          <c:symbol val="none"/>
        </c:marker>
      </c:pivotFmt>
      <c:pivotFmt>
        <c:idx val="145"/>
        <c:marker>
          <c:symbol val="none"/>
        </c:marker>
      </c:pivotFmt>
      <c:pivotFmt>
        <c:idx val="146"/>
        <c:marker>
          <c:symbol val="none"/>
        </c:marker>
      </c:pivotFmt>
      <c:pivotFmt>
        <c:idx val="147"/>
        <c:marker>
          <c:symbol val="none"/>
        </c:marker>
      </c:pivotFmt>
      <c:pivotFmt>
        <c:idx val="148"/>
        <c:marker>
          <c:symbol val="none"/>
        </c:marker>
      </c:pivotFmt>
      <c:pivotFmt>
        <c:idx val="149"/>
        <c:marker>
          <c:symbol val="none"/>
        </c:marker>
      </c:pivotFmt>
      <c:pivotFmt>
        <c:idx val="150"/>
        <c:marker>
          <c:symbol val="none"/>
        </c:marker>
      </c:pivotFmt>
      <c:pivotFmt>
        <c:idx val="151"/>
        <c:marker>
          <c:symbol val="none"/>
        </c:marker>
      </c:pivotFmt>
      <c:pivotFmt>
        <c:idx val="152"/>
        <c:marker>
          <c:symbol val="none"/>
        </c:marker>
      </c:pivotFmt>
      <c:pivotFmt>
        <c:idx val="153"/>
        <c:marker>
          <c:symbol val="none"/>
        </c:marker>
      </c:pivotFmt>
      <c:pivotFmt>
        <c:idx val="154"/>
        <c:marker>
          <c:symbol val="none"/>
        </c:marker>
      </c:pivotFmt>
      <c:pivotFmt>
        <c:idx val="155"/>
        <c:marker>
          <c:symbol val="none"/>
        </c:marker>
      </c:pivotFmt>
      <c:pivotFmt>
        <c:idx val="156"/>
        <c:marker>
          <c:symbol val="none"/>
        </c:marker>
      </c:pivotFmt>
      <c:pivotFmt>
        <c:idx val="157"/>
        <c:marker>
          <c:symbol val="none"/>
        </c:marker>
      </c:pivotFmt>
      <c:pivotFmt>
        <c:idx val="158"/>
        <c:marker>
          <c:symbol val="none"/>
        </c:marker>
      </c:pivotFmt>
      <c:pivotFmt>
        <c:idx val="159"/>
        <c:marker>
          <c:symbol val="none"/>
        </c:marker>
      </c:pivotFmt>
      <c:pivotFmt>
        <c:idx val="160"/>
        <c:marker>
          <c:symbol val="none"/>
        </c:marker>
      </c:pivotFmt>
      <c:pivotFmt>
        <c:idx val="161"/>
        <c:marker>
          <c:symbol val="none"/>
        </c:marker>
      </c:pivotFmt>
      <c:pivotFmt>
        <c:idx val="162"/>
        <c:marker>
          <c:symbol val="none"/>
        </c:marker>
      </c:pivotFmt>
      <c:pivotFmt>
        <c:idx val="163"/>
        <c:marker>
          <c:symbol val="none"/>
        </c:marker>
      </c:pivotFmt>
      <c:pivotFmt>
        <c:idx val="164"/>
        <c:marker>
          <c:symbol val="none"/>
        </c:marker>
      </c:pivotFmt>
      <c:pivotFmt>
        <c:idx val="165"/>
        <c:marker>
          <c:symbol val="none"/>
        </c:marker>
      </c:pivotFmt>
      <c:pivotFmt>
        <c:idx val="166"/>
        <c:marker>
          <c:symbol val="none"/>
        </c:marker>
      </c:pivotFmt>
      <c:pivotFmt>
        <c:idx val="167"/>
        <c:marker>
          <c:symbol val="none"/>
        </c:marker>
      </c:pivotFmt>
      <c:pivotFmt>
        <c:idx val="168"/>
        <c:marker>
          <c:symbol val="none"/>
        </c:marker>
      </c:pivotFmt>
      <c:pivotFmt>
        <c:idx val="169"/>
        <c:marker>
          <c:symbol val="none"/>
        </c:marker>
      </c:pivotFmt>
      <c:pivotFmt>
        <c:idx val="170"/>
        <c:marker>
          <c:symbol val="none"/>
        </c:marker>
      </c:pivotFmt>
      <c:pivotFmt>
        <c:idx val="171"/>
        <c:marker>
          <c:symbol val="none"/>
        </c:marker>
      </c:pivotFmt>
      <c:pivotFmt>
        <c:idx val="172"/>
        <c:marker>
          <c:symbol val="none"/>
        </c:marker>
      </c:pivotFmt>
      <c:pivotFmt>
        <c:idx val="173"/>
        <c:marker>
          <c:symbol val="none"/>
        </c:marker>
      </c:pivotFmt>
      <c:pivotFmt>
        <c:idx val="174"/>
        <c:marker>
          <c:symbol val="none"/>
        </c:marker>
      </c:pivotFmt>
      <c:pivotFmt>
        <c:idx val="175"/>
        <c:marker>
          <c:symbol val="none"/>
        </c:marker>
      </c:pivotFmt>
      <c:pivotFmt>
        <c:idx val="176"/>
        <c:marker>
          <c:symbol val="none"/>
        </c:marker>
      </c:pivotFmt>
      <c:pivotFmt>
        <c:idx val="177"/>
        <c:marker>
          <c:symbol val="none"/>
        </c:marker>
      </c:pivotFmt>
      <c:pivotFmt>
        <c:idx val="178"/>
        <c:marker>
          <c:symbol val="none"/>
        </c:marker>
      </c:pivotFmt>
      <c:pivotFmt>
        <c:idx val="179"/>
        <c:marker>
          <c:symbol val="none"/>
        </c:marker>
      </c:pivotFmt>
      <c:pivotFmt>
        <c:idx val="180"/>
        <c:marker>
          <c:symbol val="none"/>
        </c:marker>
      </c:pivotFmt>
      <c:pivotFmt>
        <c:idx val="181"/>
        <c:marker>
          <c:symbol val="none"/>
        </c:marker>
      </c:pivotFmt>
      <c:pivotFmt>
        <c:idx val="182"/>
        <c:marker>
          <c:symbol val="none"/>
        </c:marker>
      </c:pivotFmt>
      <c:pivotFmt>
        <c:idx val="183"/>
        <c:marker>
          <c:symbol val="none"/>
        </c:marker>
      </c:pivotFmt>
      <c:pivotFmt>
        <c:idx val="184"/>
        <c:marker>
          <c:symbol val="none"/>
        </c:marker>
      </c:pivotFmt>
      <c:pivotFmt>
        <c:idx val="185"/>
        <c:marker>
          <c:symbol val="none"/>
        </c:marker>
      </c:pivotFmt>
      <c:pivotFmt>
        <c:idx val="186"/>
        <c:marker>
          <c:symbol val="none"/>
        </c:marker>
      </c:pivotFmt>
      <c:pivotFmt>
        <c:idx val="187"/>
        <c:marker>
          <c:symbol val="none"/>
        </c:marker>
      </c:pivotFmt>
      <c:pivotFmt>
        <c:idx val="188"/>
        <c:marker>
          <c:symbol val="none"/>
        </c:marker>
      </c:pivotFmt>
      <c:pivotFmt>
        <c:idx val="189"/>
        <c:marker>
          <c:symbol val="none"/>
        </c:marker>
      </c:pivotFmt>
      <c:pivotFmt>
        <c:idx val="190"/>
        <c:marker>
          <c:symbol val="none"/>
        </c:marker>
      </c:pivotFmt>
      <c:pivotFmt>
        <c:idx val="191"/>
        <c:marker>
          <c:symbol val="none"/>
        </c:marker>
      </c:pivotFmt>
      <c:pivotFmt>
        <c:idx val="192"/>
        <c:marker>
          <c:symbol val="none"/>
        </c:marker>
      </c:pivotFmt>
      <c:pivotFmt>
        <c:idx val="193"/>
        <c:marker>
          <c:symbol val="none"/>
        </c:marker>
      </c:pivotFmt>
      <c:pivotFmt>
        <c:idx val="194"/>
        <c:marker>
          <c:symbol val="none"/>
        </c:marker>
      </c:pivotFmt>
      <c:pivotFmt>
        <c:idx val="195"/>
        <c:marker>
          <c:symbol val="none"/>
        </c:marker>
      </c:pivotFmt>
      <c:pivotFmt>
        <c:idx val="196"/>
        <c:marker>
          <c:symbol val="none"/>
        </c:marker>
      </c:pivotFmt>
      <c:pivotFmt>
        <c:idx val="197"/>
        <c:marker>
          <c:symbol val="none"/>
        </c:marker>
      </c:pivotFmt>
      <c:pivotFmt>
        <c:idx val="198"/>
        <c:marker>
          <c:symbol val="none"/>
        </c:marker>
      </c:pivotFmt>
      <c:pivotFmt>
        <c:idx val="199"/>
        <c:marker>
          <c:symbol val="none"/>
        </c:marker>
      </c:pivotFmt>
      <c:pivotFmt>
        <c:idx val="200"/>
        <c:marker>
          <c:symbol val="none"/>
        </c:marker>
      </c:pivotFmt>
      <c:pivotFmt>
        <c:idx val="201"/>
        <c:marker>
          <c:symbol val="none"/>
        </c:marker>
      </c:pivotFmt>
      <c:pivotFmt>
        <c:idx val="202"/>
        <c:marker>
          <c:symbol val="none"/>
        </c:marker>
      </c:pivotFmt>
      <c:pivotFmt>
        <c:idx val="203"/>
        <c:marker>
          <c:symbol val="none"/>
        </c:marker>
      </c:pivotFmt>
      <c:pivotFmt>
        <c:idx val="204"/>
        <c:marker>
          <c:symbol val="none"/>
        </c:marker>
      </c:pivotFmt>
      <c:pivotFmt>
        <c:idx val="205"/>
        <c:marker>
          <c:symbol val="none"/>
        </c:marker>
      </c:pivotFmt>
      <c:pivotFmt>
        <c:idx val="206"/>
        <c:marker>
          <c:symbol val="none"/>
        </c:marker>
      </c:pivotFmt>
      <c:pivotFmt>
        <c:idx val="207"/>
        <c:marker>
          <c:symbol val="none"/>
        </c:marker>
      </c:pivotFmt>
      <c:pivotFmt>
        <c:idx val="208"/>
        <c:marker>
          <c:symbol val="none"/>
        </c:marker>
      </c:pivotFmt>
      <c:pivotFmt>
        <c:idx val="209"/>
        <c:marker>
          <c:symbol val="none"/>
        </c:marker>
      </c:pivotFmt>
      <c:pivotFmt>
        <c:idx val="210"/>
        <c:marker>
          <c:symbol val="none"/>
        </c:marker>
      </c:pivotFmt>
      <c:pivotFmt>
        <c:idx val="211"/>
        <c:marker>
          <c:symbol val="none"/>
        </c:marker>
      </c:pivotFmt>
      <c:pivotFmt>
        <c:idx val="212"/>
        <c:marker>
          <c:symbol val="none"/>
        </c:marker>
      </c:pivotFmt>
      <c:pivotFmt>
        <c:idx val="213"/>
        <c:marker>
          <c:symbol val="none"/>
        </c:marker>
      </c:pivotFmt>
      <c:pivotFmt>
        <c:idx val="214"/>
        <c:marker>
          <c:symbol val="none"/>
        </c:marker>
      </c:pivotFmt>
      <c:pivotFmt>
        <c:idx val="215"/>
        <c:marker>
          <c:symbol val="none"/>
        </c:marker>
      </c:pivotFmt>
      <c:pivotFmt>
        <c:idx val="216"/>
        <c:marker>
          <c:symbol val="none"/>
        </c:marker>
      </c:pivotFmt>
      <c:pivotFmt>
        <c:idx val="217"/>
        <c:marker>
          <c:symbol val="none"/>
        </c:marker>
      </c:pivotFmt>
      <c:pivotFmt>
        <c:idx val="218"/>
        <c:marker>
          <c:symbol val="none"/>
        </c:marker>
      </c:pivotFmt>
      <c:pivotFmt>
        <c:idx val="219"/>
        <c:marker>
          <c:symbol val="none"/>
        </c:marker>
      </c:pivotFmt>
      <c:pivotFmt>
        <c:idx val="220"/>
        <c:marker>
          <c:symbol val="none"/>
        </c:marker>
      </c:pivotFmt>
      <c:pivotFmt>
        <c:idx val="221"/>
        <c:marker>
          <c:symbol val="none"/>
        </c:marker>
      </c:pivotFmt>
      <c:pivotFmt>
        <c:idx val="222"/>
        <c:marker>
          <c:symbol val="none"/>
        </c:marker>
      </c:pivotFmt>
      <c:pivotFmt>
        <c:idx val="223"/>
        <c:marker>
          <c:symbol val="none"/>
        </c:marker>
      </c:pivotFmt>
      <c:pivotFmt>
        <c:idx val="224"/>
        <c:marker>
          <c:symbol val="none"/>
        </c:marker>
      </c:pivotFmt>
      <c:pivotFmt>
        <c:idx val="225"/>
        <c:marker>
          <c:symbol val="none"/>
        </c:marker>
      </c:pivotFmt>
      <c:pivotFmt>
        <c:idx val="226"/>
        <c:marker>
          <c:symbol val="none"/>
        </c:marker>
      </c:pivotFmt>
      <c:pivotFmt>
        <c:idx val="227"/>
        <c:marker>
          <c:symbol val="none"/>
        </c:marker>
      </c:pivotFmt>
      <c:pivotFmt>
        <c:idx val="228"/>
        <c:marker>
          <c:symbol val="none"/>
        </c:marker>
      </c:pivotFmt>
      <c:pivotFmt>
        <c:idx val="229"/>
        <c:marker>
          <c:symbol val="none"/>
        </c:marker>
      </c:pivotFmt>
      <c:pivotFmt>
        <c:idx val="230"/>
        <c:marker>
          <c:symbol val="none"/>
        </c:marker>
      </c:pivotFmt>
      <c:pivotFmt>
        <c:idx val="231"/>
        <c:marker>
          <c:symbol val="none"/>
        </c:marker>
      </c:pivotFmt>
      <c:pivotFmt>
        <c:idx val="232"/>
        <c:marker>
          <c:symbol val="none"/>
        </c:marker>
      </c:pivotFmt>
      <c:pivotFmt>
        <c:idx val="233"/>
        <c:marker>
          <c:symbol val="none"/>
        </c:marker>
      </c:pivotFmt>
      <c:pivotFmt>
        <c:idx val="234"/>
        <c:marker>
          <c:symbol val="none"/>
        </c:marker>
      </c:pivotFmt>
      <c:pivotFmt>
        <c:idx val="235"/>
        <c:marker>
          <c:symbol val="none"/>
        </c:marker>
      </c:pivotFmt>
      <c:pivotFmt>
        <c:idx val="236"/>
        <c:marker>
          <c:symbol val="none"/>
        </c:marker>
      </c:pivotFmt>
      <c:pivotFmt>
        <c:idx val="237"/>
        <c:marker>
          <c:symbol val="none"/>
        </c:marker>
      </c:pivotFmt>
      <c:pivotFmt>
        <c:idx val="238"/>
        <c:marker>
          <c:symbol val="none"/>
        </c:marker>
      </c:pivotFmt>
      <c:pivotFmt>
        <c:idx val="239"/>
        <c:marker>
          <c:symbol val="none"/>
        </c:marker>
      </c:pivotFmt>
      <c:pivotFmt>
        <c:idx val="240"/>
        <c:marker>
          <c:symbol val="none"/>
        </c:marker>
      </c:pivotFmt>
      <c:pivotFmt>
        <c:idx val="241"/>
        <c:marker>
          <c:symbol val="none"/>
        </c:marker>
      </c:pivotFmt>
      <c:pivotFmt>
        <c:idx val="242"/>
        <c:marker>
          <c:symbol val="none"/>
        </c:marker>
      </c:pivotFmt>
      <c:pivotFmt>
        <c:idx val="243"/>
        <c:marker>
          <c:symbol val="none"/>
        </c:marker>
      </c:pivotFmt>
      <c:pivotFmt>
        <c:idx val="244"/>
        <c:marker>
          <c:symbol val="none"/>
        </c:marker>
      </c:pivotFmt>
      <c:pivotFmt>
        <c:idx val="245"/>
        <c:marker>
          <c:symbol val="none"/>
        </c:marker>
      </c:pivotFmt>
      <c:pivotFmt>
        <c:idx val="246"/>
        <c:marker>
          <c:symbol val="none"/>
        </c:marker>
      </c:pivotFmt>
      <c:pivotFmt>
        <c:idx val="247"/>
        <c:marker>
          <c:symbol val="none"/>
        </c:marker>
      </c:pivotFmt>
      <c:pivotFmt>
        <c:idx val="248"/>
        <c:marker>
          <c:symbol val="none"/>
        </c:marker>
      </c:pivotFmt>
      <c:pivotFmt>
        <c:idx val="249"/>
        <c:marker>
          <c:symbol val="none"/>
        </c:marker>
      </c:pivotFmt>
      <c:pivotFmt>
        <c:idx val="250"/>
        <c:marker>
          <c:symbol val="none"/>
        </c:marker>
      </c:pivotFmt>
      <c:pivotFmt>
        <c:idx val="251"/>
        <c:marker>
          <c:symbol val="none"/>
        </c:marker>
      </c:pivotFmt>
      <c:pivotFmt>
        <c:idx val="252"/>
        <c:marker>
          <c:symbol val="none"/>
        </c:marker>
      </c:pivotFmt>
      <c:pivotFmt>
        <c:idx val="253"/>
        <c:marker>
          <c:symbol val="none"/>
        </c:marker>
      </c:pivotFmt>
      <c:pivotFmt>
        <c:idx val="254"/>
        <c:marker>
          <c:symbol val="none"/>
        </c:marker>
      </c:pivotFmt>
      <c:pivotFmt>
        <c:idx val="255"/>
        <c:marker>
          <c:symbol val="none"/>
        </c:marker>
      </c:pivotFmt>
      <c:pivotFmt>
        <c:idx val="256"/>
        <c:marker>
          <c:symbol val="none"/>
        </c:marker>
      </c:pivotFmt>
      <c:pivotFmt>
        <c:idx val="257"/>
        <c:marker>
          <c:symbol val="none"/>
        </c:marker>
      </c:pivotFmt>
      <c:pivotFmt>
        <c:idx val="258"/>
        <c:marker>
          <c:symbol val="none"/>
        </c:marker>
      </c:pivotFmt>
      <c:pivotFmt>
        <c:idx val="259"/>
        <c:marker>
          <c:symbol val="none"/>
        </c:marker>
      </c:pivotFmt>
      <c:pivotFmt>
        <c:idx val="260"/>
        <c:marker>
          <c:symbol val="none"/>
        </c:marker>
      </c:pivotFmt>
      <c:pivotFmt>
        <c:idx val="261"/>
        <c:marker>
          <c:symbol val="none"/>
        </c:marker>
      </c:pivotFmt>
      <c:pivotFmt>
        <c:idx val="262"/>
        <c:marker>
          <c:symbol val="none"/>
        </c:marker>
      </c:pivotFmt>
      <c:pivotFmt>
        <c:idx val="263"/>
        <c:marker>
          <c:symbol val="none"/>
        </c:marker>
      </c:pivotFmt>
      <c:pivotFmt>
        <c:idx val="264"/>
        <c:marker>
          <c:symbol val="none"/>
        </c:marker>
      </c:pivotFmt>
      <c:pivotFmt>
        <c:idx val="265"/>
        <c:marker>
          <c:symbol val="none"/>
        </c:marker>
      </c:pivotFmt>
      <c:pivotFmt>
        <c:idx val="266"/>
        <c:marker>
          <c:symbol val="none"/>
        </c:marker>
      </c:pivotFmt>
      <c:pivotFmt>
        <c:idx val="267"/>
        <c:marker>
          <c:symbol val="none"/>
        </c:marker>
      </c:pivotFmt>
      <c:pivotFmt>
        <c:idx val="268"/>
        <c:marker>
          <c:symbol val="none"/>
        </c:marker>
      </c:pivotFmt>
      <c:pivotFmt>
        <c:idx val="269"/>
        <c:marker>
          <c:symbol val="none"/>
        </c:marker>
      </c:pivotFmt>
      <c:pivotFmt>
        <c:idx val="270"/>
        <c:marker>
          <c:symbol val="none"/>
        </c:marker>
      </c:pivotFmt>
      <c:pivotFmt>
        <c:idx val="271"/>
        <c:marker>
          <c:symbol val="none"/>
        </c:marker>
      </c:pivotFmt>
      <c:pivotFmt>
        <c:idx val="272"/>
        <c:marker>
          <c:symbol val="none"/>
        </c:marker>
      </c:pivotFmt>
      <c:pivotFmt>
        <c:idx val="273"/>
        <c:marker>
          <c:symbol val="none"/>
        </c:marker>
      </c:pivotFmt>
      <c:pivotFmt>
        <c:idx val="274"/>
        <c:marker>
          <c:symbol val="none"/>
        </c:marker>
      </c:pivotFmt>
      <c:pivotFmt>
        <c:idx val="275"/>
        <c:marker>
          <c:symbol val="none"/>
        </c:marker>
      </c:pivotFmt>
      <c:pivotFmt>
        <c:idx val="276"/>
        <c:marker>
          <c:symbol val="none"/>
        </c:marker>
      </c:pivotFmt>
      <c:pivotFmt>
        <c:idx val="277"/>
        <c:marker>
          <c:symbol val="none"/>
        </c:marker>
      </c:pivotFmt>
      <c:pivotFmt>
        <c:idx val="278"/>
        <c:marker>
          <c:symbol val="none"/>
        </c:marker>
      </c:pivotFmt>
      <c:pivotFmt>
        <c:idx val="279"/>
        <c:marker>
          <c:symbol val="none"/>
        </c:marker>
      </c:pivotFmt>
      <c:pivotFmt>
        <c:idx val="280"/>
        <c:marker>
          <c:symbol val="none"/>
        </c:marker>
      </c:pivotFmt>
      <c:pivotFmt>
        <c:idx val="281"/>
        <c:marker>
          <c:symbol val="none"/>
        </c:marker>
      </c:pivotFmt>
      <c:pivotFmt>
        <c:idx val="282"/>
        <c:marker>
          <c:symbol val="none"/>
        </c:marker>
      </c:pivotFmt>
      <c:pivotFmt>
        <c:idx val="283"/>
        <c:marker>
          <c:symbol val="none"/>
        </c:marker>
      </c:pivotFmt>
      <c:pivotFmt>
        <c:idx val="284"/>
        <c:marker>
          <c:symbol val="none"/>
        </c:marker>
      </c:pivotFmt>
      <c:pivotFmt>
        <c:idx val="285"/>
        <c:marker>
          <c:symbol val="none"/>
        </c:marker>
      </c:pivotFmt>
      <c:pivotFmt>
        <c:idx val="286"/>
        <c:marker>
          <c:symbol val="none"/>
        </c:marker>
      </c:pivotFmt>
      <c:pivotFmt>
        <c:idx val="287"/>
        <c:marker>
          <c:symbol val="none"/>
        </c:marker>
      </c:pivotFmt>
      <c:pivotFmt>
        <c:idx val="288"/>
        <c:marker>
          <c:symbol val="none"/>
        </c:marker>
      </c:pivotFmt>
      <c:pivotFmt>
        <c:idx val="289"/>
        <c:marker>
          <c:symbol val="none"/>
        </c:marker>
      </c:pivotFmt>
      <c:pivotFmt>
        <c:idx val="290"/>
        <c:marker>
          <c:symbol val="none"/>
        </c:marker>
      </c:pivotFmt>
      <c:pivotFmt>
        <c:idx val="291"/>
        <c:marker>
          <c:symbol val="none"/>
        </c:marker>
      </c:pivotFmt>
      <c:pivotFmt>
        <c:idx val="292"/>
        <c:marker>
          <c:symbol val="none"/>
        </c:marker>
      </c:pivotFmt>
      <c:pivotFmt>
        <c:idx val="293"/>
        <c:marker>
          <c:symbol val="none"/>
        </c:marker>
      </c:pivotFmt>
      <c:pivotFmt>
        <c:idx val="294"/>
        <c:marker>
          <c:symbol val="none"/>
        </c:marker>
      </c:pivotFmt>
      <c:pivotFmt>
        <c:idx val="295"/>
        <c:marker>
          <c:symbol val="none"/>
        </c:marker>
      </c:pivotFmt>
      <c:pivotFmt>
        <c:idx val="296"/>
        <c:marker>
          <c:symbol val="none"/>
        </c:marker>
      </c:pivotFmt>
      <c:pivotFmt>
        <c:idx val="297"/>
        <c:marker>
          <c:symbol val="none"/>
        </c:marker>
      </c:pivotFmt>
      <c:pivotFmt>
        <c:idx val="298"/>
        <c:marker>
          <c:symbol val="none"/>
        </c:marker>
      </c:pivotFmt>
      <c:pivotFmt>
        <c:idx val="299"/>
        <c:marker>
          <c:symbol val="none"/>
        </c:marker>
      </c:pivotFmt>
      <c:pivotFmt>
        <c:idx val="300"/>
        <c:marker>
          <c:symbol val="none"/>
        </c:marker>
      </c:pivotFmt>
      <c:pivotFmt>
        <c:idx val="301"/>
        <c:marker>
          <c:symbol val="none"/>
        </c:marker>
      </c:pivotFmt>
      <c:pivotFmt>
        <c:idx val="302"/>
        <c:marker>
          <c:symbol val="none"/>
        </c:marker>
      </c:pivotFmt>
      <c:pivotFmt>
        <c:idx val="303"/>
        <c:marker>
          <c:symbol val="none"/>
        </c:marker>
      </c:pivotFmt>
      <c:pivotFmt>
        <c:idx val="304"/>
        <c:marker>
          <c:symbol val="none"/>
        </c:marker>
      </c:pivotFmt>
      <c:pivotFmt>
        <c:idx val="305"/>
        <c:marker>
          <c:symbol val="none"/>
        </c:marker>
      </c:pivotFmt>
      <c:pivotFmt>
        <c:idx val="306"/>
        <c:marker>
          <c:symbol val="none"/>
        </c:marker>
      </c:pivotFmt>
      <c:pivotFmt>
        <c:idx val="307"/>
        <c:marker>
          <c:symbol val="none"/>
        </c:marker>
      </c:pivotFmt>
      <c:pivotFmt>
        <c:idx val="308"/>
        <c:marker>
          <c:symbol val="none"/>
        </c:marker>
      </c:pivotFmt>
      <c:pivotFmt>
        <c:idx val="309"/>
        <c:marker>
          <c:symbol val="none"/>
        </c:marker>
      </c:pivotFmt>
      <c:pivotFmt>
        <c:idx val="310"/>
        <c:marker>
          <c:symbol val="none"/>
        </c:marker>
      </c:pivotFmt>
      <c:pivotFmt>
        <c:idx val="311"/>
        <c:marker>
          <c:symbol val="none"/>
        </c:marker>
      </c:pivotFmt>
      <c:pivotFmt>
        <c:idx val="312"/>
        <c:marker>
          <c:symbol val="none"/>
        </c:marker>
      </c:pivotFmt>
      <c:pivotFmt>
        <c:idx val="313"/>
        <c:marker>
          <c:symbol val="none"/>
        </c:marker>
      </c:pivotFmt>
      <c:pivotFmt>
        <c:idx val="314"/>
        <c:marker>
          <c:symbol val="none"/>
        </c:marker>
      </c:pivotFmt>
      <c:pivotFmt>
        <c:idx val="315"/>
        <c:marker>
          <c:symbol val="none"/>
        </c:marker>
      </c:pivotFmt>
      <c:pivotFmt>
        <c:idx val="316"/>
        <c:marker>
          <c:symbol val="none"/>
        </c:marker>
      </c:pivotFmt>
      <c:pivotFmt>
        <c:idx val="317"/>
        <c:marker>
          <c:symbol val="none"/>
        </c:marker>
      </c:pivotFmt>
      <c:pivotFmt>
        <c:idx val="318"/>
        <c:marker>
          <c:symbol val="none"/>
        </c:marker>
      </c:pivotFmt>
      <c:pivotFmt>
        <c:idx val="319"/>
        <c:marker>
          <c:symbol val="none"/>
        </c:marker>
      </c:pivotFmt>
      <c:pivotFmt>
        <c:idx val="320"/>
        <c:marker>
          <c:symbol val="none"/>
        </c:marker>
      </c:pivotFmt>
      <c:pivotFmt>
        <c:idx val="321"/>
        <c:marker>
          <c:symbol val="none"/>
        </c:marker>
      </c:pivotFmt>
      <c:pivotFmt>
        <c:idx val="322"/>
        <c:marker>
          <c:symbol val="none"/>
        </c:marker>
      </c:pivotFmt>
      <c:pivotFmt>
        <c:idx val="323"/>
        <c:marker>
          <c:symbol val="none"/>
        </c:marker>
      </c:pivotFmt>
      <c:pivotFmt>
        <c:idx val="324"/>
        <c:marker>
          <c:symbol val="none"/>
        </c:marker>
      </c:pivotFmt>
      <c:pivotFmt>
        <c:idx val="325"/>
        <c:marker>
          <c:symbol val="none"/>
        </c:marker>
      </c:pivotFmt>
      <c:pivotFmt>
        <c:idx val="326"/>
        <c:marker>
          <c:symbol val="none"/>
        </c:marker>
      </c:pivotFmt>
      <c:pivotFmt>
        <c:idx val="327"/>
        <c:marker>
          <c:symbol val="none"/>
        </c:marker>
      </c:pivotFmt>
      <c:pivotFmt>
        <c:idx val="328"/>
        <c:marker>
          <c:symbol val="none"/>
        </c:marker>
      </c:pivotFmt>
      <c:pivotFmt>
        <c:idx val="329"/>
        <c:marker>
          <c:symbol val="none"/>
        </c:marker>
      </c:pivotFmt>
      <c:pivotFmt>
        <c:idx val="330"/>
        <c:marker>
          <c:symbol val="none"/>
        </c:marker>
      </c:pivotFmt>
      <c:pivotFmt>
        <c:idx val="331"/>
        <c:marker>
          <c:symbol val="none"/>
        </c:marker>
      </c:pivotFmt>
      <c:pivotFmt>
        <c:idx val="332"/>
        <c:marker>
          <c:symbol val="none"/>
        </c:marker>
      </c:pivotFmt>
      <c:pivotFmt>
        <c:idx val="333"/>
        <c:marker>
          <c:symbol val="none"/>
        </c:marker>
      </c:pivotFmt>
      <c:pivotFmt>
        <c:idx val="334"/>
        <c:marker>
          <c:symbol val="none"/>
        </c:marker>
      </c:pivotFmt>
      <c:pivotFmt>
        <c:idx val="335"/>
        <c:marker>
          <c:symbol val="none"/>
        </c:marker>
      </c:pivotFmt>
      <c:pivotFmt>
        <c:idx val="336"/>
        <c:marker>
          <c:symbol val="none"/>
        </c:marker>
      </c:pivotFmt>
      <c:pivotFmt>
        <c:idx val="337"/>
        <c:marker>
          <c:symbol val="none"/>
        </c:marker>
      </c:pivotFmt>
      <c:pivotFmt>
        <c:idx val="338"/>
        <c:marker>
          <c:symbol val="none"/>
        </c:marker>
      </c:pivotFmt>
      <c:pivotFmt>
        <c:idx val="339"/>
        <c:marker>
          <c:symbol val="none"/>
        </c:marker>
      </c:pivotFmt>
      <c:pivotFmt>
        <c:idx val="340"/>
        <c:marker>
          <c:symbol val="none"/>
        </c:marker>
      </c:pivotFmt>
      <c:pivotFmt>
        <c:idx val="341"/>
        <c:marker>
          <c:symbol val="none"/>
        </c:marker>
      </c:pivotFmt>
      <c:pivotFmt>
        <c:idx val="342"/>
        <c:marker>
          <c:symbol val="none"/>
        </c:marker>
      </c:pivotFmt>
      <c:pivotFmt>
        <c:idx val="343"/>
        <c:marker>
          <c:symbol val="none"/>
        </c:marker>
      </c:pivotFmt>
      <c:pivotFmt>
        <c:idx val="344"/>
        <c:marker>
          <c:symbol val="none"/>
        </c:marker>
      </c:pivotFmt>
      <c:pivotFmt>
        <c:idx val="345"/>
        <c:marker>
          <c:symbol val="none"/>
        </c:marker>
      </c:pivotFmt>
      <c:pivotFmt>
        <c:idx val="346"/>
        <c:marker>
          <c:symbol val="none"/>
        </c:marker>
      </c:pivotFmt>
      <c:pivotFmt>
        <c:idx val="347"/>
        <c:marker>
          <c:symbol val="none"/>
        </c:marker>
      </c:pivotFmt>
      <c:pivotFmt>
        <c:idx val="348"/>
        <c:marker>
          <c:symbol val="none"/>
        </c:marker>
      </c:pivotFmt>
      <c:pivotFmt>
        <c:idx val="349"/>
        <c:marker>
          <c:symbol val="none"/>
        </c:marker>
      </c:pivotFmt>
      <c:pivotFmt>
        <c:idx val="350"/>
        <c:marker>
          <c:symbol val="none"/>
        </c:marker>
      </c:pivotFmt>
      <c:pivotFmt>
        <c:idx val="351"/>
        <c:marker>
          <c:symbol val="none"/>
        </c:marker>
      </c:pivotFmt>
      <c:pivotFmt>
        <c:idx val="352"/>
        <c:marker>
          <c:symbol val="none"/>
        </c:marker>
      </c:pivotFmt>
      <c:pivotFmt>
        <c:idx val="353"/>
        <c:marker>
          <c:symbol val="none"/>
        </c:marker>
      </c:pivotFmt>
      <c:pivotFmt>
        <c:idx val="354"/>
        <c:marker>
          <c:symbol val="none"/>
        </c:marker>
      </c:pivotFmt>
      <c:pivotFmt>
        <c:idx val="355"/>
        <c:marker>
          <c:symbol val="none"/>
        </c:marker>
      </c:pivotFmt>
      <c:pivotFmt>
        <c:idx val="356"/>
        <c:marker>
          <c:symbol val="none"/>
        </c:marker>
      </c:pivotFmt>
      <c:pivotFmt>
        <c:idx val="357"/>
        <c:marker>
          <c:symbol val="none"/>
        </c:marker>
      </c:pivotFmt>
      <c:pivotFmt>
        <c:idx val="358"/>
        <c:marker>
          <c:symbol val="none"/>
        </c:marker>
      </c:pivotFmt>
      <c:pivotFmt>
        <c:idx val="359"/>
        <c:marker>
          <c:symbol val="none"/>
        </c:marker>
      </c:pivotFmt>
      <c:pivotFmt>
        <c:idx val="360"/>
        <c:marker>
          <c:symbol val="none"/>
        </c:marker>
      </c:pivotFmt>
      <c:pivotFmt>
        <c:idx val="361"/>
        <c:marker>
          <c:symbol val="none"/>
        </c:marker>
      </c:pivotFmt>
      <c:pivotFmt>
        <c:idx val="362"/>
        <c:marker>
          <c:symbol val="none"/>
        </c:marker>
      </c:pivotFmt>
      <c:pivotFmt>
        <c:idx val="363"/>
        <c:marker>
          <c:symbol val="none"/>
        </c:marker>
      </c:pivotFmt>
      <c:pivotFmt>
        <c:idx val="364"/>
        <c:marker>
          <c:symbol val="none"/>
        </c:marker>
      </c:pivotFmt>
      <c:pivotFmt>
        <c:idx val="365"/>
        <c:marker>
          <c:symbol val="none"/>
        </c:marker>
      </c:pivotFmt>
      <c:pivotFmt>
        <c:idx val="366"/>
        <c:marker>
          <c:symbol val="none"/>
        </c:marker>
      </c:pivotFmt>
      <c:pivotFmt>
        <c:idx val="367"/>
        <c:marker>
          <c:symbol val="none"/>
        </c:marker>
      </c:pivotFmt>
      <c:pivotFmt>
        <c:idx val="368"/>
        <c:marker>
          <c:symbol val="none"/>
        </c:marker>
      </c:pivotFmt>
      <c:pivotFmt>
        <c:idx val="369"/>
        <c:marker>
          <c:symbol val="none"/>
        </c:marker>
      </c:pivotFmt>
      <c:pivotFmt>
        <c:idx val="370"/>
        <c:marker>
          <c:symbol val="none"/>
        </c:marker>
      </c:pivotFmt>
      <c:pivotFmt>
        <c:idx val="371"/>
        <c:marker>
          <c:symbol val="none"/>
        </c:marker>
      </c:pivotFmt>
      <c:pivotFmt>
        <c:idx val="372"/>
        <c:marker>
          <c:symbol val="none"/>
        </c:marker>
      </c:pivotFmt>
      <c:pivotFmt>
        <c:idx val="373"/>
        <c:marker>
          <c:symbol val="none"/>
        </c:marker>
      </c:pivotFmt>
      <c:pivotFmt>
        <c:idx val="374"/>
        <c:marker>
          <c:symbol val="none"/>
        </c:marker>
      </c:pivotFmt>
      <c:pivotFmt>
        <c:idx val="375"/>
        <c:marker>
          <c:symbol val="none"/>
        </c:marker>
      </c:pivotFmt>
      <c:pivotFmt>
        <c:idx val="376"/>
        <c:marker>
          <c:symbol val="none"/>
        </c:marker>
      </c:pivotFmt>
      <c:pivotFmt>
        <c:idx val="377"/>
        <c:marker>
          <c:symbol val="none"/>
        </c:marker>
      </c:pivotFmt>
      <c:pivotFmt>
        <c:idx val="378"/>
        <c:marker>
          <c:symbol val="none"/>
        </c:marker>
      </c:pivotFmt>
      <c:pivotFmt>
        <c:idx val="379"/>
        <c:marker>
          <c:symbol val="none"/>
        </c:marker>
      </c:pivotFmt>
      <c:pivotFmt>
        <c:idx val="380"/>
        <c:marker>
          <c:symbol val="none"/>
        </c:marker>
      </c:pivotFmt>
      <c:pivotFmt>
        <c:idx val="381"/>
        <c:marker>
          <c:symbol val="none"/>
        </c:marker>
      </c:pivotFmt>
      <c:pivotFmt>
        <c:idx val="382"/>
        <c:marker>
          <c:symbol val="none"/>
        </c:marker>
      </c:pivotFmt>
      <c:pivotFmt>
        <c:idx val="383"/>
        <c:marker>
          <c:symbol val="none"/>
        </c:marker>
      </c:pivotFmt>
      <c:pivotFmt>
        <c:idx val="384"/>
        <c:marker>
          <c:symbol val="none"/>
        </c:marker>
      </c:pivotFmt>
      <c:pivotFmt>
        <c:idx val="385"/>
        <c:marker>
          <c:symbol val="none"/>
        </c:marker>
      </c:pivotFmt>
      <c:pivotFmt>
        <c:idx val="386"/>
        <c:marker>
          <c:symbol val="none"/>
        </c:marker>
      </c:pivotFmt>
      <c:pivotFmt>
        <c:idx val="387"/>
        <c:marker>
          <c:symbol val="none"/>
        </c:marker>
      </c:pivotFmt>
      <c:pivotFmt>
        <c:idx val="388"/>
        <c:marker>
          <c:symbol val="none"/>
        </c:marker>
      </c:pivotFmt>
      <c:pivotFmt>
        <c:idx val="389"/>
        <c:marker>
          <c:symbol val="none"/>
        </c:marker>
      </c:pivotFmt>
      <c:pivotFmt>
        <c:idx val="390"/>
        <c:marker>
          <c:symbol val="none"/>
        </c:marker>
      </c:pivotFmt>
      <c:pivotFmt>
        <c:idx val="391"/>
        <c:marker>
          <c:symbol val="none"/>
        </c:marker>
      </c:pivotFmt>
      <c:pivotFmt>
        <c:idx val="392"/>
        <c:marker>
          <c:symbol val="none"/>
        </c:marker>
      </c:pivotFmt>
      <c:pivotFmt>
        <c:idx val="393"/>
        <c:marker>
          <c:symbol val="none"/>
        </c:marker>
      </c:pivotFmt>
      <c:pivotFmt>
        <c:idx val="394"/>
        <c:marker>
          <c:symbol val="none"/>
        </c:marker>
      </c:pivotFmt>
      <c:pivotFmt>
        <c:idx val="395"/>
        <c:marker>
          <c:symbol val="none"/>
        </c:marker>
      </c:pivotFmt>
      <c:pivotFmt>
        <c:idx val="396"/>
        <c:marker>
          <c:symbol val="none"/>
        </c:marker>
      </c:pivotFmt>
      <c:pivotFmt>
        <c:idx val="397"/>
        <c:marker>
          <c:symbol val="none"/>
        </c:marker>
      </c:pivotFmt>
      <c:pivotFmt>
        <c:idx val="398"/>
        <c:marker>
          <c:symbol val="none"/>
        </c:marker>
      </c:pivotFmt>
      <c:pivotFmt>
        <c:idx val="399"/>
        <c:marker>
          <c:symbol val="none"/>
        </c:marker>
      </c:pivotFmt>
      <c:pivotFmt>
        <c:idx val="400"/>
        <c:marker>
          <c:symbol val="none"/>
        </c:marker>
      </c:pivotFmt>
      <c:pivotFmt>
        <c:idx val="401"/>
        <c:marker>
          <c:symbol val="none"/>
        </c:marker>
      </c:pivotFmt>
      <c:pivotFmt>
        <c:idx val="402"/>
        <c:marker>
          <c:symbol val="none"/>
        </c:marker>
      </c:pivotFmt>
      <c:pivotFmt>
        <c:idx val="403"/>
        <c:marker>
          <c:symbol val="none"/>
        </c:marker>
      </c:pivotFmt>
      <c:pivotFmt>
        <c:idx val="404"/>
        <c:marker>
          <c:symbol val="none"/>
        </c:marker>
      </c:pivotFmt>
      <c:pivotFmt>
        <c:idx val="405"/>
        <c:marker>
          <c:symbol val="none"/>
        </c:marker>
      </c:pivotFmt>
      <c:pivotFmt>
        <c:idx val="406"/>
        <c:marker>
          <c:symbol val="none"/>
        </c:marker>
      </c:pivotFmt>
      <c:pivotFmt>
        <c:idx val="407"/>
        <c:marker>
          <c:symbol val="none"/>
        </c:marker>
      </c:pivotFmt>
      <c:pivotFmt>
        <c:idx val="408"/>
        <c:marker>
          <c:symbol val="none"/>
        </c:marker>
      </c:pivotFmt>
      <c:pivotFmt>
        <c:idx val="409"/>
        <c:marker>
          <c:symbol val="none"/>
        </c:marker>
      </c:pivotFmt>
      <c:pivotFmt>
        <c:idx val="410"/>
        <c:marker>
          <c:symbol val="none"/>
        </c:marker>
      </c:pivotFmt>
      <c:pivotFmt>
        <c:idx val="411"/>
        <c:marker>
          <c:symbol val="none"/>
        </c:marker>
      </c:pivotFmt>
      <c:pivotFmt>
        <c:idx val="412"/>
        <c:marker>
          <c:symbol val="none"/>
        </c:marker>
      </c:pivotFmt>
      <c:pivotFmt>
        <c:idx val="413"/>
        <c:marker>
          <c:symbol val="none"/>
        </c:marker>
      </c:pivotFmt>
      <c:pivotFmt>
        <c:idx val="414"/>
        <c:marker>
          <c:symbol val="none"/>
        </c:marker>
      </c:pivotFmt>
      <c:pivotFmt>
        <c:idx val="415"/>
        <c:marker>
          <c:symbol val="none"/>
        </c:marker>
      </c:pivotFmt>
      <c:pivotFmt>
        <c:idx val="416"/>
        <c:marker>
          <c:symbol val="none"/>
        </c:marker>
      </c:pivotFmt>
      <c:pivotFmt>
        <c:idx val="417"/>
        <c:marker>
          <c:symbol val="none"/>
        </c:marker>
      </c:pivotFmt>
      <c:pivotFmt>
        <c:idx val="418"/>
        <c:marker>
          <c:symbol val="none"/>
        </c:marker>
      </c:pivotFmt>
      <c:pivotFmt>
        <c:idx val="419"/>
        <c:marker>
          <c:symbol val="none"/>
        </c:marker>
      </c:pivotFmt>
      <c:pivotFmt>
        <c:idx val="420"/>
        <c:marker>
          <c:symbol val="none"/>
        </c:marker>
      </c:pivotFmt>
      <c:pivotFmt>
        <c:idx val="421"/>
        <c:marker>
          <c:symbol val="none"/>
        </c:marker>
      </c:pivotFmt>
      <c:pivotFmt>
        <c:idx val="422"/>
        <c:marker>
          <c:symbol val="none"/>
        </c:marker>
      </c:pivotFmt>
      <c:pivotFmt>
        <c:idx val="423"/>
        <c:marker>
          <c:symbol val="none"/>
        </c:marker>
      </c:pivotFmt>
      <c:pivotFmt>
        <c:idx val="424"/>
        <c:marker>
          <c:symbol val="none"/>
        </c:marker>
      </c:pivotFmt>
      <c:pivotFmt>
        <c:idx val="425"/>
        <c:marker>
          <c:symbol val="none"/>
        </c:marker>
      </c:pivotFmt>
      <c:pivotFmt>
        <c:idx val="426"/>
        <c:marker>
          <c:symbol val="none"/>
        </c:marker>
      </c:pivotFmt>
      <c:pivotFmt>
        <c:idx val="427"/>
        <c:marker>
          <c:symbol val="none"/>
        </c:marker>
      </c:pivotFmt>
      <c:pivotFmt>
        <c:idx val="428"/>
        <c:marker>
          <c:symbol val="none"/>
        </c:marker>
      </c:pivotFmt>
      <c:pivotFmt>
        <c:idx val="429"/>
        <c:marker>
          <c:symbol val="none"/>
        </c:marker>
      </c:pivotFmt>
      <c:pivotFmt>
        <c:idx val="430"/>
        <c:marker>
          <c:symbol val="none"/>
        </c:marker>
      </c:pivotFmt>
      <c:pivotFmt>
        <c:idx val="431"/>
        <c:marker>
          <c:symbol val="none"/>
        </c:marker>
      </c:pivotFmt>
      <c:pivotFmt>
        <c:idx val="432"/>
        <c:marker>
          <c:symbol val="none"/>
        </c:marker>
      </c:pivotFmt>
      <c:pivotFmt>
        <c:idx val="433"/>
        <c:marker>
          <c:symbol val="none"/>
        </c:marker>
      </c:pivotFmt>
      <c:pivotFmt>
        <c:idx val="434"/>
        <c:marker>
          <c:symbol val="none"/>
        </c:marker>
      </c:pivotFmt>
      <c:pivotFmt>
        <c:idx val="435"/>
        <c:marker>
          <c:symbol val="none"/>
        </c:marker>
      </c:pivotFmt>
      <c:pivotFmt>
        <c:idx val="436"/>
        <c:marker>
          <c:symbol val="none"/>
        </c:marker>
      </c:pivotFmt>
      <c:pivotFmt>
        <c:idx val="437"/>
        <c:marker>
          <c:symbol val="none"/>
        </c:marker>
      </c:pivotFmt>
      <c:pivotFmt>
        <c:idx val="438"/>
        <c:marker>
          <c:symbol val="none"/>
        </c:marker>
      </c:pivotFmt>
      <c:pivotFmt>
        <c:idx val="439"/>
        <c:marker>
          <c:symbol val="none"/>
        </c:marker>
      </c:pivotFmt>
      <c:pivotFmt>
        <c:idx val="440"/>
        <c:marker>
          <c:symbol val="none"/>
        </c:marker>
      </c:pivotFmt>
      <c:pivotFmt>
        <c:idx val="441"/>
        <c:marker>
          <c:symbol val="none"/>
        </c:marker>
      </c:pivotFmt>
      <c:pivotFmt>
        <c:idx val="442"/>
        <c:marker>
          <c:symbol val="none"/>
        </c:marker>
      </c:pivotFmt>
      <c:pivotFmt>
        <c:idx val="443"/>
        <c:marker>
          <c:symbol val="none"/>
        </c:marker>
      </c:pivotFmt>
      <c:pivotFmt>
        <c:idx val="444"/>
        <c:marker>
          <c:symbol val="none"/>
        </c:marker>
      </c:pivotFmt>
      <c:pivotFmt>
        <c:idx val="445"/>
        <c:marker>
          <c:symbol val="none"/>
        </c:marker>
      </c:pivotFmt>
      <c:pivotFmt>
        <c:idx val="446"/>
        <c:marker>
          <c:symbol val="none"/>
        </c:marker>
      </c:pivotFmt>
      <c:pivotFmt>
        <c:idx val="447"/>
        <c:marker>
          <c:symbol val="none"/>
        </c:marker>
      </c:pivotFmt>
      <c:pivotFmt>
        <c:idx val="448"/>
        <c:marker>
          <c:symbol val="none"/>
        </c:marker>
      </c:pivotFmt>
      <c:pivotFmt>
        <c:idx val="449"/>
        <c:marker>
          <c:symbol val="none"/>
        </c:marker>
      </c:pivotFmt>
      <c:pivotFmt>
        <c:idx val="450"/>
        <c:marker>
          <c:symbol val="none"/>
        </c:marker>
      </c:pivotFmt>
      <c:pivotFmt>
        <c:idx val="451"/>
        <c:marker>
          <c:symbol val="none"/>
        </c:marker>
      </c:pivotFmt>
      <c:pivotFmt>
        <c:idx val="452"/>
        <c:marker>
          <c:symbol val="none"/>
        </c:marker>
      </c:pivotFmt>
      <c:pivotFmt>
        <c:idx val="453"/>
        <c:marker>
          <c:symbol val="none"/>
        </c:marker>
      </c:pivotFmt>
      <c:pivotFmt>
        <c:idx val="454"/>
        <c:marker>
          <c:symbol val="none"/>
        </c:marker>
      </c:pivotFmt>
      <c:pivotFmt>
        <c:idx val="455"/>
        <c:marker>
          <c:symbol val="none"/>
        </c:marker>
      </c:pivotFmt>
      <c:pivotFmt>
        <c:idx val="456"/>
        <c:marker>
          <c:symbol val="none"/>
        </c:marker>
      </c:pivotFmt>
      <c:pivotFmt>
        <c:idx val="457"/>
        <c:marker>
          <c:symbol val="none"/>
        </c:marker>
      </c:pivotFmt>
      <c:pivotFmt>
        <c:idx val="458"/>
        <c:marker>
          <c:symbol val="none"/>
        </c:marker>
      </c:pivotFmt>
      <c:pivotFmt>
        <c:idx val="459"/>
        <c:marker>
          <c:symbol val="none"/>
        </c:marker>
      </c:pivotFmt>
      <c:pivotFmt>
        <c:idx val="460"/>
        <c:marker>
          <c:symbol val="none"/>
        </c:marker>
      </c:pivotFmt>
      <c:pivotFmt>
        <c:idx val="461"/>
        <c:marker>
          <c:symbol val="none"/>
        </c:marker>
      </c:pivotFmt>
      <c:pivotFmt>
        <c:idx val="462"/>
        <c:marker>
          <c:symbol val="none"/>
        </c:marker>
      </c:pivotFmt>
      <c:pivotFmt>
        <c:idx val="463"/>
        <c:marker>
          <c:symbol val="none"/>
        </c:marker>
      </c:pivotFmt>
      <c:pivotFmt>
        <c:idx val="464"/>
        <c:marker>
          <c:symbol val="none"/>
        </c:marker>
      </c:pivotFmt>
      <c:pivotFmt>
        <c:idx val="465"/>
        <c:marker>
          <c:symbol val="none"/>
        </c:marker>
      </c:pivotFmt>
      <c:pivotFmt>
        <c:idx val="466"/>
        <c:marker>
          <c:symbol val="none"/>
        </c:marker>
      </c:pivotFmt>
      <c:pivotFmt>
        <c:idx val="467"/>
        <c:marker>
          <c:symbol val="none"/>
        </c:marker>
      </c:pivotFmt>
      <c:pivotFmt>
        <c:idx val="468"/>
        <c:marker>
          <c:symbol val="none"/>
        </c:marker>
      </c:pivotFmt>
      <c:pivotFmt>
        <c:idx val="469"/>
        <c:marker>
          <c:symbol val="none"/>
        </c:marker>
      </c:pivotFmt>
      <c:pivotFmt>
        <c:idx val="470"/>
        <c:marker>
          <c:symbol val="none"/>
        </c:marker>
      </c:pivotFmt>
      <c:pivotFmt>
        <c:idx val="471"/>
        <c:marker>
          <c:symbol val="none"/>
        </c:marker>
      </c:pivotFmt>
      <c:pivotFmt>
        <c:idx val="472"/>
        <c:marker>
          <c:symbol val="none"/>
        </c:marker>
      </c:pivotFmt>
      <c:pivotFmt>
        <c:idx val="473"/>
        <c:marker>
          <c:symbol val="none"/>
        </c:marker>
      </c:pivotFmt>
      <c:pivotFmt>
        <c:idx val="474"/>
        <c:marker>
          <c:symbol val="none"/>
        </c:marker>
      </c:pivotFmt>
      <c:pivotFmt>
        <c:idx val="475"/>
        <c:marker>
          <c:symbol val="none"/>
        </c:marker>
      </c:pivotFmt>
      <c:pivotFmt>
        <c:idx val="476"/>
        <c:marker>
          <c:symbol val="none"/>
        </c:marker>
      </c:pivotFmt>
      <c:pivotFmt>
        <c:idx val="477"/>
        <c:marker>
          <c:symbol val="none"/>
        </c:marker>
      </c:pivotFmt>
      <c:pivotFmt>
        <c:idx val="478"/>
        <c:marker>
          <c:symbol val="none"/>
        </c:marker>
      </c:pivotFmt>
      <c:pivotFmt>
        <c:idx val="479"/>
        <c:marker>
          <c:symbol val="none"/>
        </c:marker>
      </c:pivotFmt>
      <c:pivotFmt>
        <c:idx val="480"/>
        <c:marker>
          <c:symbol val="none"/>
        </c:marker>
      </c:pivotFmt>
      <c:pivotFmt>
        <c:idx val="481"/>
        <c:marker>
          <c:symbol val="none"/>
        </c:marker>
      </c:pivotFmt>
      <c:pivotFmt>
        <c:idx val="482"/>
        <c:marker>
          <c:symbol val="none"/>
        </c:marker>
      </c:pivotFmt>
      <c:pivotFmt>
        <c:idx val="483"/>
        <c:marker>
          <c:symbol val="none"/>
        </c:marker>
      </c:pivotFmt>
      <c:pivotFmt>
        <c:idx val="484"/>
        <c:marker>
          <c:symbol val="none"/>
        </c:marker>
      </c:pivotFmt>
      <c:pivotFmt>
        <c:idx val="485"/>
        <c:marker>
          <c:symbol val="none"/>
        </c:marker>
      </c:pivotFmt>
      <c:pivotFmt>
        <c:idx val="486"/>
        <c:marker>
          <c:symbol val="none"/>
        </c:marker>
      </c:pivotFmt>
      <c:pivotFmt>
        <c:idx val="487"/>
        <c:marker>
          <c:symbol val="none"/>
        </c:marker>
      </c:pivotFmt>
      <c:pivotFmt>
        <c:idx val="488"/>
        <c:marker>
          <c:symbol val="none"/>
        </c:marker>
      </c:pivotFmt>
      <c:pivotFmt>
        <c:idx val="489"/>
        <c:marker>
          <c:symbol val="none"/>
        </c:marker>
      </c:pivotFmt>
      <c:pivotFmt>
        <c:idx val="490"/>
        <c:marker>
          <c:symbol val="none"/>
        </c:marker>
      </c:pivotFmt>
      <c:pivotFmt>
        <c:idx val="491"/>
        <c:marker>
          <c:symbol val="none"/>
        </c:marker>
      </c:pivotFmt>
      <c:pivotFmt>
        <c:idx val="492"/>
        <c:marker>
          <c:symbol val="none"/>
        </c:marker>
      </c:pivotFmt>
      <c:pivotFmt>
        <c:idx val="493"/>
        <c:marker>
          <c:symbol val="none"/>
        </c:marker>
      </c:pivotFmt>
      <c:pivotFmt>
        <c:idx val="494"/>
        <c:marker>
          <c:symbol val="none"/>
        </c:marker>
      </c:pivotFmt>
      <c:pivotFmt>
        <c:idx val="495"/>
        <c:marker>
          <c:symbol val="none"/>
        </c:marker>
      </c:pivotFmt>
      <c:pivotFmt>
        <c:idx val="496"/>
        <c:marker>
          <c:symbol val="none"/>
        </c:marker>
      </c:pivotFmt>
      <c:pivotFmt>
        <c:idx val="497"/>
        <c:marker>
          <c:symbol val="none"/>
        </c:marker>
      </c:pivotFmt>
      <c:pivotFmt>
        <c:idx val="498"/>
        <c:marker>
          <c:symbol val="none"/>
        </c:marker>
      </c:pivotFmt>
      <c:pivotFmt>
        <c:idx val="499"/>
        <c:marker>
          <c:symbol val="none"/>
        </c:marker>
      </c:pivotFmt>
      <c:pivotFmt>
        <c:idx val="500"/>
        <c:marker>
          <c:symbol val="none"/>
        </c:marker>
      </c:pivotFmt>
      <c:pivotFmt>
        <c:idx val="501"/>
        <c:marker>
          <c:symbol val="none"/>
        </c:marker>
      </c:pivotFmt>
      <c:pivotFmt>
        <c:idx val="502"/>
        <c:marker>
          <c:symbol val="none"/>
        </c:marker>
      </c:pivotFmt>
      <c:pivotFmt>
        <c:idx val="503"/>
        <c:marker>
          <c:symbol val="none"/>
        </c:marker>
      </c:pivotFmt>
      <c:pivotFmt>
        <c:idx val="504"/>
        <c:marker>
          <c:symbol val="none"/>
        </c:marker>
      </c:pivotFmt>
      <c:pivotFmt>
        <c:idx val="505"/>
        <c:marker>
          <c:symbol val="none"/>
        </c:marker>
      </c:pivotFmt>
      <c:pivotFmt>
        <c:idx val="506"/>
        <c:marker>
          <c:symbol val="none"/>
        </c:marker>
      </c:pivotFmt>
      <c:pivotFmt>
        <c:idx val="507"/>
        <c:marker>
          <c:symbol val="none"/>
        </c:marker>
      </c:pivotFmt>
      <c:pivotFmt>
        <c:idx val="508"/>
        <c:marker>
          <c:symbol val="none"/>
        </c:marker>
      </c:pivotFmt>
      <c:pivotFmt>
        <c:idx val="509"/>
        <c:marker>
          <c:symbol val="none"/>
        </c:marker>
      </c:pivotFmt>
      <c:pivotFmt>
        <c:idx val="510"/>
        <c:marker>
          <c:symbol val="none"/>
        </c:marker>
      </c:pivotFmt>
      <c:pivotFmt>
        <c:idx val="511"/>
        <c:marker>
          <c:symbol val="none"/>
        </c:marker>
      </c:pivotFmt>
      <c:pivotFmt>
        <c:idx val="512"/>
        <c:marker>
          <c:symbol val="none"/>
        </c:marker>
      </c:pivotFmt>
      <c:pivotFmt>
        <c:idx val="513"/>
        <c:marker>
          <c:symbol val="none"/>
        </c:marker>
      </c:pivotFmt>
      <c:pivotFmt>
        <c:idx val="514"/>
        <c:marker>
          <c:symbol val="none"/>
        </c:marker>
      </c:pivotFmt>
      <c:pivotFmt>
        <c:idx val="515"/>
        <c:marker>
          <c:symbol val="none"/>
        </c:marker>
      </c:pivotFmt>
      <c:pivotFmt>
        <c:idx val="516"/>
        <c:marker>
          <c:symbol val="none"/>
        </c:marker>
      </c:pivotFmt>
      <c:pivotFmt>
        <c:idx val="517"/>
        <c:marker>
          <c:symbol val="none"/>
        </c:marker>
      </c:pivotFmt>
      <c:pivotFmt>
        <c:idx val="518"/>
        <c:marker>
          <c:symbol val="none"/>
        </c:marker>
      </c:pivotFmt>
      <c:pivotFmt>
        <c:idx val="519"/>
        <c:marker>
          <c:symbol val="none"/>
        </c:marker>
      </c:pivotFmt>
      <c:pivotFmt>
        <c:idx val="520"/>
        <c:marker>
          <c:symbol val="none"/>
        </c:marker>
      </c:pivotFmt>
      <c:pivotFmt>
        <c:idx val="521"/>
        <c:marker>
          <c:symbol val="none"/>
        </c:marker>
      </c:pivotFmt>
      <c:pivotFmt>
        <c:idx val="522"/>
        <c:marker>
          <c:symbol val="none"/>
        </c:marker>
      </c:pivotFmt>
      <c:pivotFmt>
        <c:idx val="523"/>
        <c:marker>
          <c:symbol val="none"/>
        </c:marker>
      </c:pivotFmt>
      <c:pivotFmt>
        <c:idx val="524"/>
        <c:marker>
          <c:symbol val="none"/>
        </c:marker>
      </c:pivotFmt>
      <c:pivotFmt>
        <c:idx val="525"/>
        <c:marker>
          <c:symbol val="none"/>
        </c:marker>
      </c:pivotFmt>
      <c:pivotFmt>
        <c:idx val="526"/>
        <c:marker>
          <c:symbol val="none"/>
        </c:marker>
      </c:pivotFmt>
      <c:pivotFmt>
        <c:idx val="527"/>
        <c:marker>
          <c:symbol val="none"/>
        </c:marker>
      </c:pivotFmt>
      <c:pivotFmt>
        <c:idx val="528"/>
        <c:marker>
          <c:symbol val="none"/>
        </c:marker>
      </c:pivotFmt>
      <c:pivotFmt>
        <c:idx val="529"/>
        <c:marker>
          <c:symbol val="none"/>
        </c:marker>
      </c:pivotFmt>
      <c:pivotFmt>
        <c:idx val="530"/>
        <c:marker>
          <c:symbol val="none"/>
        </c:marker>
      </c:pivotFmt>
      <c:pivotFmt>
        <c:idx val="531"/>
        <c:marker>
          <c:symbol val="none"/>
        </c:marker>
      </c:pivotFmt>
      <c:pivotFmt>
        <c:idx val="532"/>
        <c:marker>
          <c:symbol val="none"/>
        </c:marker>
      </c:pivotFmt>
      <c:pivotFmt>
        <c:idx val="533"/>
        <c:marker>
          <c:symbol val="none"/>
        </c:marker>
      </c:pivotFmt>
      <c:pivotFmt>
        <c:idx val="534"/>
        <c:marker>
          <c:symbol val="none"/>
        </c:marker>
      </c:pivotFmt>
      <c:pivotFmt>
        <c:idx val="535"/>
        <c:marker>
          <c:symbol val="none"/>
        </c:marker>
      </c:pivotFmt>
      <c:pivotFmt>
        <c:idx val="536"/>
        <c:marker>
          <c:symbol val="none"/>
        </c:marker>
      </c:pivotFmt>
      <c:pivotFmt>
        <c:idx val="537"/>
        <c:marker>
          <c:symbol val="none"/>
        </c:marker>
      </c:pivotFmt>
      <c:pivotFmt>
        <c:idx val="538"/>
        <c:marker>
          <c:symbol val="none"/>
        </c:marker>
      </c:pivotFmt>
      <c:pivotFmt>
        <c:idx val="539"/>
        <c:marker>
          <c:symbol val="none"/>
        </c:marker>
      </c:pivotFmt>
      <c:pivotFmt>
        <c:idx val="540"/>
        <c:marker>
          <c:symbol val="none"/>
        </c:marker>
      </c:pivotFmt>
      <c:pivotFmt>
        <c:idx val="541"/>
        <c:marker>
          <c:symbol val="none"/>
        </c:marker>
      </c:pivotFmt>
      <c:pivotFmt>
        <c:idx val="542"/>
        <c:marker>
          <c:symbol val="none"/>
        </c:marker>
      </c:pivotFmt>
      <c:pivotFmt>
        <c:idx val="543"/>
        <c:marker>
          <c:symbol val="none"/>
        </c:marker>
      </c:pivotFmt>
      <c:pivotFmt>
        <c:idx val="544"/>
        <c:marker>
          <c:symbol val="none"/>
        </c:marker>
      </c:pivotFmt>
      <c:pivotFmt>
        <c:idx val="545"/>
        <c:marker>
          <c:symbol val="none"/>
        </c:marker>
      </c:pivotFmt>
      <c:pivotFmt>
        <c:idx val="546"/>
        <c:marker>
          <c:symbol val="none"/>
        </c:marker>
      </c:pivotFmt>
      <c:pivotFmt>
        <c:idx val="547"/>
        <c:marker>
          <c:symbol val="none"/>
        </c:marker>
      </c:pivotFmt>
      <c:pivotFmt>
        <c:idx val="548"/>
        <c:marker>
          <c:symbol val="none"/>
        </c:marker>
      </c:pivotFmt>
      <c:pivotFmt>
        <c:idx val="549"/>
        <c:marker>
          <c:symbol val="none"/>
        </c:marker>
      </c:pivotFmt>
      <c:pivotFmt>
        <c:idx val="550"/>
        <c:marker>
          <c:symbol val="none"/>
        </c:marker>
      </c:pivotFmt>
      <c:pivotFmt>
        <c:idx val="551"/>
        <c:marker>
          <c:symbol val="none"/>
        </c:marker>
      </c:pivotFmt>
      <c:pivotFmt>
        <c:idx val="552"/>
        <c:marker>
          <c:symbol val="none"/>
        </c:marker>
      </c:pivotFmt>
      <c:pivotFmt>
        <c:idx val="553"/>
        <c:marker>
          <c:symbol val="none"/>
        </c:marker>
      </c:pivotFmt>
      <c:pivotFmt>
        <c:idx val="554"/>
        <c:marker>
          <c:symbol val="none"/>
        </c:marker>
      </c:pivotFmt>
      <c:pivotFmt>
        <c:idx val="555"/>
        <c:marker>
          <c:symbol val="none"/>
        </c:marker>
      </c:pivotFmt>
      <c:pivotFmt>
        <c:idx val="556"/>
        <c:marker>
          <c:symbol val="none"/>
        </c:marker>
      </c:pivotFmt>
      <c:pivotFmt>
        <c:idx val="557"/>
        <c:marker>
          <c:symbol val="none"/>
        </c:marker>
      </c:pivotFmt>
      <c:pivotFmt>
        <c:idx val="558"/>
        <c:marker>
          <c:symbol val="none"/>
        </c:marker>
      </c:pivotFmt>
      <c:pivotFmt>
        <c:idx val="559"/>
        <c:marker>
          <c:symbol val="none"/>
        </c:marker>
      </c:pivotFmt>
      <c:pivotFmt>
        <c:idx val="560"/>
        <c:marker>
          <c:symbol val="none"/>
        </c:marker>
      </c:pivotFmt>
      <c:pivotFmt>
        <c:idx val="561"/>
        <c:marker>
          <c:symbol val="none"/>
        </c:marker>
      </c:pivotFmt>
      <c:pivotFmt>
        <c:idx val="562"/>
        <c:marker>
          <c:symbol val="none"/>
        </c:marker>
      </c:pivotFmt>
      <c:pivotFmt>
        <c:idx val="563"/>
        <c:marker>
          <c:symbol val="none"/>
        </c:marker>
      </c:pivotFmt>
      <c:pivotFmt>
        <c:idx val="564"/>
        <c:marker>
          <c:symbol val="none"/>
        </c:marker>
      </c:pivotFmt>
      <c:pivotFmt>
        <c:idx val="565"/>
        <c:marker>
          <c:symbol val="none"/>
        </c:marker>
      </c:pivotFmt>
      <c:pivotFmt>
        <c:idx val="566"/>
        <c:marker>
          <c:symbol val="none"/>
        </c:marker>
      </c:pivotFmt>
      <c:pivotFmt>
        <c:idx val="567"/>
        <c:marker>
          <c:symbol val="none"/>
        </c:marker>
      </c:pivotFmt>
      <c:pivotFmt>
        <c:idx val="568"/>
        <c:marker>
          <c:symbol val="none"/>
        </c:marker>
      </c:pivotFmt>
      <c:pivotFmt>
        <c:idx val="569"/>
        <c:marker>
          <c:symbol val="none"/>
        </c:marker>
      </c:pivotFmt>
      <c:pivotFmt>
        <c:idx val="570"/>
        <c:marker>
          <c:symbol val="none"/>
        </c:marker>
      </c:pivotFmt>
      <c:pivotFmt>
        <c:idx val="571"/>
        <c:marker>
          <c:symbol val="none"/>
        </c:marker>
      </c:pivotFmt>
      <c:pivotFmt>
        <c:idx val="572"/>
        <c:marker>
          <c:symbol val="none"/>
        </c:marker>
      </c:pivotFmt>
      <c:pivotFmt>
        <c:idx val="573"/>
        <c:marker>
          <c:symbol val="none"/>
        </c:marker>
      </c:pivotFmt>
      <c:pivotFmt>
        <c:idx val="574"/>
        <c:marker>
          <c:symbol val="none"/>
        </c:marker>
      </c:pivotFmt>
      <c:pivotFmt>
        <c:idx val="575"/>
        <c:marker>
          <c:symbol val="none"/>
        </c:marker>
      </c:pivotFmt>
      <c:pivotFmt>
        <c:idx val="576"/>
        <c:marker>
          <c:symbol val="none"/>
        </c:marker>
      </c:pivotFmt>
      <c:pivotFmt>
        <c:idx val="577"/>
        <c:marker>
          <c:symbol val="none"/>
        </c:marker>
      </c:pivotFmt>
      <c:pivotFmt>
        <c:idx val="578"/>
        <c:marker>
          <c:symbol val="none"/>
        </c:marker>
      </c:pivotFmt>
      <c:pivotFmt>
        <c:idx val="579"/>
        <c:marker>
          <c:symbol val="none"/>
        </c:marker>
      </c:pivotFmt>
      <c:pivotFmt>
        <c:idx val="580"/>
        <c:marker>
          <c:symbol val="none"/>
        </c:marker>
      </c:pivotFmt>
      <c:pivotFmt>
        <c:idx val="581"/>
        <c:marker>
          <c:symbol val="none"/>
        </c:marker>
      </c:pivotFmt>
      <c:pivotFmt>
        <c:idx val="582"/>
        <c:marker>
          <c:symbol val="none"/>
        </c:marker>
      </c:pivotFmt>
      <c:pivotFmt>
        <c:idx val="583"/>
        <c:marker>
          <c:symbol val="none"/>
        </c:marker>
      </c:pivotFmt>
      <c:pivotFmt>
        <c:idx val="584"/>
        <c:marker>
          <c:symbol val="none"/>
        </c:marker>
      </c:pivotFmt>
      <c:pivotFmt>
        <c:idx val="585"/>
        <c:marker>
          <c:symbol val="none"/>
        </c:marker>
      </c:pivotFmt>
      <c:pivotFmt>
        <c:idx val="586"/>
        <c:marker>
          <c:symbol val="none"/>
        </c:marker>
      </c:pivotFmt>
      <c:pivotFmt>
        <c:idx val="587"/>
        <c:marker>
          <c:symbol val="none"/>
        </c:marker>
      </c:pivotFmt>
      <c:pivotFmt>
        <c:idx val="588"/>
        <c:marker>
          <c:symbol val="none"/>
        </c:marker>
      </c:pivotFmt>
      <c:pivotFmt>
        <c:idx val="589"/>
        <c:marker>
          <c:symbol val="none"/>
        </c:marker>
      </c:pivotFmt>
      <c:pivotFmt>
        <c:idx val="590"/>
        <c:marker>
          <c:symbol val="none"/>
        </c:marker>
      </c:pivotFmt>
      <c:pivotFmt>
        <c:idx val="591"/>
        <c:marker>
          <c:symbol val="none"/>
        </c:marker>
      </c:pivotFmt>
      <c:pivotFmt>
        <c:idx val="592"/>
        <c:marker>
          <c:symbol val="none"/>
        </c:marker>
      </c:pivotFmt>
      <c:pivotFmt>
        <c:idx val="593"/>
        <c:marker>
          <c:symbol val="none"/>
        </c:marker>
      </c:pivotFmt>
      <c:pivotFmt>
        <c:idx val="594"/>
        <c:marker>
          <c:symbol val="none"/>
        </c:marker>
      </c:pivotFmt>
      <c:pivotFmt>
        <c:idx val="595"/>
        <c:marker>
          <c:symbol val="none"/>
        </c:marker>
      </c:pivotFmt>
      <c:pivotFmt>
        <c:idx val="596"/>
        <c:marker>
          <c:symbol val="none"/>
        </c:marker>
      </c:pivotFmt>
      <c:pivotFmt>
        <c:idx val="597"/>
        <c:marker>
          <c:symbol val="none"/>
        </c:marker>
      </c:pivotFmt>
      <c:pivotFmt>
        <c:idx val="598"/>
        <c:marker>
          <c:symbol val="none"/>
        </c:marker>
      </c:pivotFmt>
      <c:pivotFmt>
        <c:idx val="599"/>
        <c:marker>
          <c:symbol val="none"/>
        </c:marker>
      </c:pivotFmt>
      <c:pivotFmt>
        <c:idx val="600"/>
        <c:marker>
          <c:symbol val="none"/>
        </c:marker>
      </c:pivotFmt>
      <c:pivotFmt>
        <c:idx val="601"/>
        <c:marker>
          <c:symbol val="none"/>
        </c:marker>
      </c:pivotFmt>
      <c:pivotFmt>
        <c:idx val="602"/>
        <c:marker>
          <c:symbol val="none"/>
        </c:marker>
      </c:pivotFmt>
      <c:pivotFmt>
        <c:idx val="603"/>
        <c:marker>
          <c:symbol val="none"/>
        </c:marker>
      </c:pivotFmt>
      <c:pivotFmt>
        <c:idx val="604"/>
        <c:marker>
          <c:symbol val="none"/>
        </c:marker>
      </c:pivotFmt>
      <c:pivotFmt>
        <c:idx val="605"/>
        <c:marker>
          <c:symbol val="none"/>
        </c:marker>
      </c:pivotFmt>
      <c:pivotFmt>
        <c:idx val="606"/>
        <c:marker>
          <c:symbol val="none"/>
        </c:marker>
      </c:pivotFmt>
      <c:pivotFmt>
        <c:idx val="607"/>
        <c:marker>
          <c:symbol val="none"/>
        </c:marker>
      </c:pivotFmt>
      <c:pivotFmt>
        <c:idx val="608"/>
        <c:marker>
          <c:symbol val="none"/>
        </c:marker>
      </c:pivotFmt>
      <c:pivotFmt>
        <c:idx val="609"/>
        <c:marker>
          <c:symbol val="none"/>
        </c:marker>
      </c:pivotFmt>
      <c:pivotFmt>
        <c:idx val="610"/>
        <c:marker>
          <c:symbol val="none"/>
        </c:marker>
      </c:pivotFmt>
      <c:pivotFmt>
        <c:idx val="611"/>
        <c:marker>
          <c:symbol val="none"/>
        </c:marker>
      </c:pivotFmt>
      <c:pivotFmt>
        <c:idx val="612"/>
        <c:marker>
          <c:symbol val="none"/>
        </c:marker>
      </c:pivotFmt>
      <c:pivotFmt>
        <c:idx val="613"/>
        <c:marker>
          <c:symbol val="none"/>
        </c:marker>
      </c:pivotFmt>
      <c:pivotFmt>
        <c:idx val="614"/>
        <c:marker>
          <c:symbol val="none"/>
        </c:marker>
      </c:pivotFmt>
      <c:pivotFmt>
        <c:idx val="615"/>
        <c:marker>
          <c:symbol val="none"/>
        </c:marker>
      </c:pivotFmt>
      <c:pivotFmt>
        <c:idx val="616"/>
        <c:marker>
          <c:symbol val="none"/>
        </c:marker>
      </c:pivotFmt>
      <c:pivotFmt>
        <c:idx val="617"/>
        <c:marker>
          <c:symbol val="none"/>
        </c:marker>
      </c:pivotFmt>
      <c:pivotFmt>
        <c:idx val="618"/>
        <c:marker>
          <c:symbol val="none"/>
        </c:marker>
      </c:pivotFmt>
      <c:pivotFmt>
        <c:idx val="619"/>
        <c:marker>
          <c:symbol val="none"/>
        </c:marker>
      </c:pivotFmt>
      <c:pivotFmt>
        <c:idx val="620"/>
        <c:marker>
          <c:symbol val="none"/>
        </c:marker>
      </c:pivotFmt>
      <c:pivotFmt>
        <c:idx val="621"/>
        <c:marker>
          <c:symbol val="none"/>
        </c:marker>
      </c:pivotFmt>
      <c:pivotFmt>
        <c:idx val="622"/>
        <c:marker>
          <c:symbol val="none"/>
        </c:marker>
      </c:pivotFmt>
      <c:pivotFmt>
        <c:idx val="623"/>
        <c:marker>
          <c:symbol val="none"/>
        </c:marker>
      </c:pivotFmt>
      <c:pivotFmt>
        <c:idx val="624"/>
        <c:marker>
          <c:symbol val="none"/>
        </c:marker>
      </c:pivotFmt>
      <c:pivotFmt>
        <c:idx val="625"/>
        <c:marker>
          <c:symbol val="none"/>
        </c:marker>
      </c:pivotFmt>
      <c:pivotFmt>
        <c:idx val="626"/>
        <c:marker>
          <c:symbol val="none"/>
        </c:marker>
      </c:pivotFmt>
      <c:pivotFmt>
        <c:idx val="627"/>
        <c:marker>
          <c:symbol val="none"/>
        </c:marker>
      </c:pivotFmt>
      <c:pivotFmt>
        <c:idx val="628"/>
        <c:marker>
          <c:symbol val="none"/>
        </c:marker>
      </c:pivotFmt>
      <c:pivotFmt>
        <c:idx val="629"/>
        <c:marker>
          <c:symbol val="none"/>
        </c:marker>
      </c:pivotFmt>
      <c:pivotFmt>
        <c:idx val="630"/>
        <c:marker>
          <c:symbol val="none"/>
        </c:marker>
      </c:pivotFmt>
      <c:pivotFmt>
        <c:idx val="631"/>
        <c:marker>
          <c:symbol val="none"/>
        </c:marker>
      </c:pivotFmt>
      <c:pivotFmt>
        <c:idx val="632"/>
        <c:marker>
          <c:symbol val="none"/>
        </c:marker>
      </c:pivotFmt>
      <c:pivotFmt>
        <c:idx val="633"/>
        <c:marker>
          <c:symbol val="none"/>
        </c:marker>
      </c:pivotFmt>
      <c:pivotFmt>
        <c:idx val="634"/>
        <c:marker>
          <c:symbol val="none"/>
        </c:marker>
      </c:pivotFmt>
      <c:pivotFmt>
        <c:idx val="635"/>
        <c:marker>
          <c:symbol val="none"/>
        </c:marker>
      </c:pivotFmt>
      <c:pivotFmt>
        <c:idx val="636"/>
        <c:marker>
          <c:symbol val="none"/>
        </c:marker>
      </c:pivotFmt>
      <c:pivotFmt>
        <c:idx val="637"/>
        <c:marker>
          <c:symbol val="none"/>
        </c:marker>
      </c:pivotFmt>
      <c:pivotFmt>
        <c:idx val="638"/>
        <c:marker>
          <c:symbol val="none"/>
        </c:marker>
      </c:pivotFmt>
      <c:pivotFmt>
        <c:idx val="639"/>
        <c:marker>
          <c:symbol val="none"/>
        </c:marker>
      </c:pivotFmt>
      <c:pivotFmt>
        <c:idx val="640"/>
        <c:marker>
          <c:symbol val="none"/>
        </c:marker>
      </c:pivotFmt>
      <c:pivotFmt>
        <c:idx val="641"/>
        <c:marker>
          <c:symbol val="none"/>
        </c:marker>
      </c:pivotFmt>
      <c:pivotFmt>
        <c:idx val="642"/>
        <c:marker>
          <c:symbol val="none"/>
        </c:marker>
      </c:pivotFmt>
      <c:pivotFmt>
        <c:idx val="643"/>
        <c:marker>
          <c:symbol val="none"/>
        </c:marker>
      </c:pivotFmt>
      <c:pivotFmt>
        <c:idx val="644"/>
        <c:marker>
          <c:symbol val="none"/>
        </c:marker>
      </c:pivotFmt>
      <c:pivotFmt>
        <c:idx val="645"/>
        <c:marker>
          <c:symbol val="none"/>
        </c:marker>
      </c:pivotFmt>
      <c:pivotFmt>
        <c:idx val="646"/>
        <c:marker>
          <c:symbol val="none"/>
        </c:marker>
      </c:pivotFmt>
      <c:pivotFmt>
        <c:idx val="647"/>
        <c:marker>
          <c:symbol val="none"/>
        </c:marker>
      </c:pivotFmt>
      <c:pivotFmt>
        <c:idx val="648"/>
        <c:marker>
          <c:symbol val="none"/>
        </c:marker>
      </c:pivotFmt>
      <c:pivotFmt>
        <c:idx val="649"/>
        <c:marker>
          <c:symbol val="none"/>
        </c:marker>
      </c:pivotFmt>
      <c:pivotFmt>
        <c:idx val="650"/>
        <c:marker>
          <c:symbol val="none"/>
        </c:marker>
      </c:pivotFmt>
      <c:pivotFmt>
        <c:idx val="651"/>
        <c:marker>
          <c:symbol val="none"/>
        </c:marker>
      </c:pivotFmt>
      <c:pivotFmt>
        <c:idx val="652"/>
        <c:marker>
          <c:symbol val="none"/>
        </c:marker>
      </c:pivotFmt>
      <c:pivotFmt>
        <c:idx val="653"/>
        <c:marker>
          <c:symbol val="none"/>
        </c:marker>
      </c:pivotFmt>
      <c:pivotFmt>
        <c:idx val="654"/>
        <c:marker>
          <c:symbol val="none"/>
        </c:marker>
      </c:pivotFmt>
      <c:pivotFmt>
        <c:idx val="655"/>
        <c:marker>
          <c:symbol val="none"/>
        </c:marker>
      </c:pivotFmt>
      <c:pivotFmt>
        <c:idx val="656"/>
        <c:marker>
          <c:symbol val="none"/>
        </c:marker>
      </c:pivotFmt>
      <c:pivotFmt>
        <c:idx val="657"/>
        <c:marker>
          <c:symbol val="none"/>
        </c:marker>
      </c:pivotFmt>
      <c:pivotFmt>
        <c:idx val="658"/>
        <c:marker>
          <c:symbol val="none"/>
        </c:marker>
      </c:pivotFmt>
      <c:pivotFmt>
        <c:idx val="659"/>
        <c:marker>
          <c:symbol val="none"/>
        </c:marker>
      </c:pivotFmt>
      <c:pivotFmt>
        <c:idx val="660"/>
        <c:marker>
          <c:symbol val="none"/>
        </c:marker>
      </c:pivotFmt>
      <c:pivotFmt>
        <c:idx val="661"/>
        <c:marker>
          <c:symbol val="none"/>
        </c:marker>
      </c:pivotFmt>
      <c:pivotFmt>
        <c:idx val="662"/>
        <c:marker>
          <c:symbol val="none"/>
        </c:marker>
      </c:pivotFmt>
      <c:pivotFmt>
        <c:idx val="663"/>
        <c:marker>
          <c:symbol val="none"/>
        </c:marker>
      </c:pivotFmt>
      <c:pivotFmt>
        <c:idx val="664"/>
        <c:marker>
          <c:symbol val="none"/>
        </c:marker>
      </c:pivotFmt>
      <c:pivotFmt>
        <c:idx val="665"/>
        <c:marker>
          <c:symbol val="none"/>
        </c:marker>
      </c:pivotFmt>
      <c:pivotFmt>
        <c:idx val="666"/>
        <c:marker>
          <c:symbol val="none"/>
        </c:marker>
      </c:pivotFmt>
      <c:pivotFmt>
        <c:idx val="667"/>
        <c:marker>
          <c:symbol val="none"/>
        </c:marker>
      </c:pivotFmt>
      <c:pivotFmt>
        <c:idx val="668"/>
        <c:marker>
          <c:symbol val="none"/>
        </c:marker>
      </c:pivotFmt>
      <c:pivotFmt>
        <c:idx val="669"/>
        <c:marker>
          <c:symbol val="none"/>
        </c:marker>
      </c:pivotFmt>
      <c:pivotFmt>
        <c:idx val="670"/>
        <c:marker>
          <c:symbol val="none"/>
        </c:marker>
      </c:pivotFmt>
      <c:pivotFmt>
        <c:idx val="671"/>
        <c:marker>
          <c:symbol val="none"/>
        </c:marker>
      </c:pivotFmt>
      <c:pivotFmt>
        <c:idx val="672"/>
        <c:marker>
          <c:symbol val="none"/>
        </c:marker>
      </c:pivotFmt>
      <c:pivotFmt>
        <c:idx val="673"/>
        <c:marker>
          <c:symbol val="none"/>
        </c:marker>
      </c:pivotFmt>
      <c:pivotFmt>
        <c:idx val="674"/>
        <c:marker>
          <c:symbol val="none"/>
        </c:marker>
      </c:pivotFmt>
      <c:pivotFmt>
        <c:idx val="675"/>
        <c:marker>
          <c:symbol val="none"/>
        </c:marker>
      </c:pivotFmt>
      <c:pivotFmt>
        <c:idx val="676"/>
        <c:marker>
          <c:symbol val="none"/>
        </c:marker>
      </c:pivotFmt>
      <c:pivotFmt>
        <c:idx val="677"/>
        <c:marker>
          <c:symbol val="none"/>
        </c:marker>
      </c:pivotFmt>
      <c:pivotFmt>
        <c:idx val="678"/>
        <c:marker>
          <c:symbol val="none"/>
        </c:marker>
      </c:pivotFmt>
      <c:pivotFmt>
        <c:idx val="679"/>
        <c:marker>
          <c:symbol val="none"/>
        </c:marker>
      </c:pivotFmt>
      <c:pivotFmt>
        <c:idx val="680"/>
        <c:marker>
          <c:symbol val="none"/>
        </c:marker>
      </c:pivotFmt>
      <c:pivotFmt>
        <c:idx val="681"/>
        <c:marker>
          <c:symbol val="none"/>
        </c:marker>
      </c:pivotFmt>
      <c:pivotFmt>
        <c:idx val="682"/>
        <c:marker>
          <c:symbol val="none"/>
        </c:marker>
      </c:pivotFmt>
      <c:pivotFmt>
        <c:idx val="683"/>
        <c:marker>
          <c:symbol val="none"/>
        </c:marker>
      </c:pivotFmt>
      <c:pivotFmt>
        <c:idx val="684"/>
        <c:marker>
          <c:symbol val="none"/>
        </c:marker>
      </c:pivotFmt>
      <c:pivotFmt>
        <c:idx val="685"/>
        <c:marker>
          <c:symbol val="none"/>
        </c:marker>
      </c:pivotFmt>
      <c:pivotFmt>
        <c:idx val="686"/>
        <c:marker>
          <c:symbol val="none"/>
        </c:marker>
      </c:pivotFmt>
      <c:pivotFmt>
        <c:idx val="687"/>
        <c:marker>
          <c:symbol val="none"/>
        </c:marker>
      </c:pivotFmt>
      <c:pivotFmt>
        <c:idx val="688"/>
        <c:marker>
          <c:symbol val="none"/>
        </c:marker>
      </c:pivotFmt>
      <c:pivotFmt>
        <c:idx val="689"/>
        <c:marker>
          <c:symbol val="none"/>
        </c:marker>
      </c:pivotFmt>
      <c:pivotFmt>
        <c:idx val="690"/>
        <c:marker>
          <c:symbol val="none"/>
        </c:marker>
      </c:pivotFmt>
      <c:pivotFmt>
        <c:idx val="691"/>
        <c:marker>
          <c:symbol val="none"/>
        </c:marker>
      </c:pivotFmt>
      <c:pivotFmt>
        <c:idx val="692"/>
        <c:marker>
          <c:symbol val="none"/>
        </c:marker>
      </c:pivotFmt>
      <c:pivotFmt>
        <c:idx val="693"/>
        <c:marker>
          <c:symbol val="none"/>
        </c:marker>
      </c:pivotFmt>
      <c:pivotFmt>
        <c:idx val="694"/>
        <c:marker>
          <c:symbol val="none"/>
        </c:marker>
      </c:pivotFmt>
      <c:pivotFmt>
        <c:idx val="695"/>
        <c:marker>
          <c:symbol val="none"/>
        </c:marker>
      </c:pivotFmt>
      <c:pivotFmt>
        <c:idx val="696"/>
        <c:marker>
          <c:symbol val="none"/>
        </c:marker>
      </c:pivotFmt>
      <c:pivotFmt>
        <c:idx val="697"/>
        <c:marker>
          <c:symbol val="none"/>
        </c:marker>
      </c:pivotFmt>
      <c:pivotFmt>
        <c:idx val="698"/>
        <c:marker>
          <c:symbol val="none"/>
        </c:marker>
      </c:pivotFmt>
      <c:pivotFmt>
        <c:idx val="699"/>
        <c:marker>
          <c:symbol val="none"/>
        </c:marker>
      </c:pivotFmt>
      <c:pivotFmt>
        <c:idx val="700"/>
        <c:marker>
          <c:symbol val="none"/>
        </c:marker>
      </c:pivotFmt>
      <c:pivotFmt>
        <c:idx val="701"/>
        <c:marker>
          <c:symbol val="none"/>
        </c:marker>
      </c:pivotFmt>
      <c:pivotFmt>
        <c:idx val="702"/>
        <c:marker>
          <c:symbol val="none"/>
        </c:marker>
      </c:pivotFmt>
      <c:pivotFmt>
        <c:idx val="703"/>
        <c:marker>
          <c:symbol val="none"/>
        </c:marker>
      </c:pivotFmt>
    </c:pivotFmts>
    <c:plotArea>
      <c:layout/>
      <c:lineChart>
        <c:grouping val="standard"/>
        <c:varyColors val="0"/>
        <c:ser>
          <c:idx val="0"/>
          <c:order val="0"/>
          <c:tx>
            <c:strRef>
              <c:f>'comparators (2)'!$B$37:$B$38</c:f>
              <c:strCache>
                <c:ptCount val="1"/>
                <c:pt idx="0">
                  <c:v>Acute</c:v>
                </c:pt>
              </c:strCache>
            </c:strRef>
          </c:tx>
          <c:marker>
            <c:symbol val="none"/>
          </c:marker>
          <c:cat>
            <c:multiLvlStrRef>
              <c:f>'comparators (2)'!$A$39:$A$71</c:f>
              <c:multiLvlStrCache>
                <c:ptCount val="29"/>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pt idx="12">
                    <c:v>APRIL</c:v>
                  </c:pt>
                  <c:pt idx="13">
                    <c:v>MAY</c:v>
                  </c:pt>
                  <c:pt idx="14">
                    <c:v>JUNE</c:v>
                  </c:pt>
                  <c:pt idx="15">
                    <c:v>JULY</c:v>
                  </c:pt>
                  <c:pt idx="16">
                    <c:v>AUGUST</c:v>
                  </c:pt>
                  <c:pt idx="17">
                    <c:v>SEPTEMBER</c:v>
                  </c:pt>
                  <c:pt idx="18">
                    <c:v>OCTOBER</c:v>
                  </c:pt>
                  <c:pt idx="19">
                    <c:v>NOVEMBER</c:v>
                  </c:pt>
                  <c:pt idx="20">
                    <c:v>DECEMBER</c:v>
                  </c:pt>
                  <c:pt idx="21">
                    <c:v>JANUARY</c:v>
                  </c:pt>
                  <c:pt idx="22">
                    <c:v>FEBRUARY</c:v>
                  </c:pt>
                  <c:pt idx="23">
                    <c:v>MARCH</c:v>
                  </c:pt>
                  <c:pt idx="24">
                    <c:v>APRIL</c:v>
                  </c:pt>
                  <c:pt idx="25">
                    <c:v>MAY</c:v>
                  </c:pt>
                  <c:pt idx="26">
                    <c:v>JUNE</c:v>
                  </c:pt>
                  <c:pt idx="27">
                    <c:v>JULY</c:v>
                  </c:pt>
                  <c:pt idx="28">
                    <c:v>AUGUST</c:v>
                  </c:pt>
                </c:lvl>
                <c:lvl>
                  <c:pt idx="0">
                    <c:v>2016-17</c:v>
                  </c:pt>
                  <c:pt idx="12">
                    <c:v>2017-18</c:v>
                  </c:pt>
                  <c:pt idx="24">
                    <c:v>2018-19</c:v>
                  </c:pt>
                </c:lvl>
              </c:multiLvlStrCache>
            </c:multiLvlStrRef>
          </c:cat>
          <c:val>
            <c:numRef>
              <c:f>'comparators (2)'!$B$39:$B$71</c:f>
              <c:numCache>
                <c:formatCode>General</c:formatCode>
                <c:ptCount val="29"/>
                <c:pt idx="0">
                  <c:v>123</c:v>
                </c:pt>
                <c:pt idx="1">
                  <c:v>91</c:v>
                </c:pt>
                <c:pt idx="2">
                  <c:v>169</c:v>
                </c:pt>
                <c:pt idx="3">
                  <c:v>81</c:v>
                </c:pt>
                <c:pt idx="4">
                  <c:v>192</c:v>
                </c:pt>
                <c:pt idx="5">
                  <c:v>278</c:v>
                </c:pt>
                <c:pt idx="6">
                  <c:v>179</c:v>
                </c:pt>
                <c:pt idx="7">
                  <c:v>49</c:v>
                </c:pt>
                <c:pt idx="8">
                  <c:v>156</c:v>
                </c:pt>
                <c:pt idx="9">
                  <c:v>200</c:v>
                </c:pt>
                <c:pt idx="10">
                  <c:v>150</c:v>
                </c:pt>
                <c:pt idx="11">
                  <c:v>130</c:v>
                </c:pt>
                <c:pt idx="12">
                  <c:v>131</c:v>
                </c:pt>
                <c:pt idx="13">
                  <c:v>145</c:v>
                </c:pt>
                <c:pt idx="14">
                  <c:v>92</c:v>
                </c:pt>
                <c:pt idx="15">
                  <c:v>123</c:v>
                </c:pt>
                <c:pt idx="16">
                  <c:v>85</c:v>
                </c:pt>
                <c:pt idx="17">
                  <c:v>168</c:v>
                </c:pt>
                <c:pt idx="18">
                  <c:v>145</c:v>
                </c:pt>
                <c:pt idx="19">
                  <c:v>177</c:v>
                </c:pt>
                <c:pt idx="20">
                  <c:v>177</c:v>
                </c:pt>
                <c:pt idx="21">
                  <c:v>101</c:v>
                </c:pt>
                <c:pt idx="22">
                  <c:v>76</c:v>
                </c:pt>
                <c:pt idx="23">
                  <c:v>89</c:v>
                </c:pt>
                <c:pt idx="24">
                  <c:v>43</c:v>
                </c:pt>
                <c:pt idx="25">
                  <c:v>101</c:v>
                </c:pt>
                <c:pt idx="26">
                  <c:v>134</c:v>
                </c:pt>
                <c:pt idx="27">
                  <c:v>121</c:v>
                </c:pt>
                <c:pt idx="28">
                  <c:v>117</c:v>
                </c:pt>
              </c:numCache>
            </c:numRef>
          </c:val>
          <c:smooth val="0"/>
        </c:ser>
        <c:ser>
          <c:idx val="1"/>
          <c:order val="1"/>
          <c:tx>
            <c:strRef>
              <c:f>'comparators (2)'!$C$37:$C$38</c:f>
              <c:strCache>
                <c:ptCount val="1"/>
                <c:pt idx="0">
                  <c:v>Non-Acute</c:v>
                </c:pt>
              </c:strCache>
            </c:strRef>
          </c:tx>
          <c:marker>
            <c:symbol val="none"/>
          </c:marker>
          <c:cat>
            <c:multiLvlStrRef>
              <c:f>'comparators (2)'!$A$39:$A$71</c:f>
              <c:multiLvlStrCache>
                <c:ptCount val="29"/>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pt idx="12">
                    <c:v>APRIL</c:v>
                  </c:pt>
                  <c:pt idx="13">
                    <c:v>MAY</c:v>
                  </c:pt>
                  <c:pt idx="14">
                    <c:v>JUNE</c:v>
                  </c:pt>
                  <c:pt idx="15">
                    <c:v>JULY</c:v>
                  </c:pt>
                  <c:pt idx="16">
                    <c:v>AUGUST</c:v>
                  </c:pt>
                  <c:pt idx="17">
                    <c:v>SEPTEMBER</c:v>
                  </c:pt>
                  <c:pt idx="18">
                    <c:v>OCTOBER</c:v>
                  </c:pt>
                  <c:pt idx="19">
                    <c:v>NOVEMBER</c:v>
                  </c:pt>
                  <c:pt idx="20">
                    <c:v>DECEMBER</c:v>
                  </c:pt>
                  <c:pt idx="21">
                    <c:v>JANUARY</c:v>
                  </c:pt>
                  <c:pt idx="22">
                    <c:v>FEBRUARY</c:v>
                  </c:pt>
                  <c:pt idx="23">
                    <c:v>MARCH</c:v>
                  </c:pt>
                  <c:pt idx="24">
                    <c:v>APRIL</c:v>
                  </c:pt>
                  <c:pt idx="25">
                    <c:v>MAY</c:v>
                  </c:pt>
                  <c:pt idx="26">
                    <c:v>JUNE</c:v>
                  </c:pt>
                  <c:pt idx="27">
                    <c:v>JULY</c:v>
                  </c:pt>
                  <c:pt idx="28">
                    <c:v>AUGUST</c:v>
                  </c:pt>
                </c:lvl>
                <c:lvl>
                  <c:pt idx="0">
                    <c:v>2016-17</c:v>
                  </c:pt>
                  <c:pt idx="12">
                    <c:v>2017-18</c:v>
                  </c:pt>
                  <c:pt idx="24">
                    <c:v>2018-19</c:v>
                  </c:pt>
                </c:lvl>
              </c:multiLvlStrCache>
            </c:multiLvlStrRef>
          </c:cat>
          <c:val>
            <c:numRef>
              <c:f>'comparators (2)'!$C$39:$C$71</c:f>
              <c:numCache>
                <c:formatCode>General</c:formatCode>
                <c:ptCount val="29"/>
                <c:pt idx="0">
                  <c:v>42</c:v>
                </c:pt>
                <c:pt idx="1">
                  <c:v>18</c:v>
                </c:pt>
                <c:pt idx="2">
                  <c:v>47</c:v>
                </c:pt>
                <c:pt idx="3">
                  <c:v>75</c:v>
                </c:pt>
                <c:pt idx="4">
                  <c:v>97</c:v>
                </c:pt>
                <c:pt idx="5">
                  <c:v>182</c:v>
                </c:pt>
                <c:pt idx="6">
                  <c:v>66</c:v>
                </c:pt>
                <c:pt idx="7">
                  <c:v>58</c:v>
                </c:pt>
                <c:pt idx="8">
                  <c:v>71</c:v>
                </c:pt>
                <c:pt idx="9">
                  <c:v>102</c:v>
                </c:pt>
                <c:pt idx="10">
                  <c:v>82</c:v>
                </c:pt>
                <c:pt idx="11">
                  <c:v>67</c:v>
                </c:pt>
                <c:pt idx="12">
                  <c:v>68</c:v>
                </c:pt>
                <c:pt idx="13">
                  <c:v>96</c:v>
                </c:pt>
                <c:pt idx="14">
                  <c:v>47</c:v>
                </c:pt>
                <c:pt idx="15">
                  <c:v>30</c:v>
                </c:pt>
                <c:pt idx="16">
                  <c:v>32</c:v>
                </c:pt>
                <c:pt idx="17">
                  <c:v>66</c:v>
                </c:pt>
                <c:pt idx="18">
                  <c:v>51</c:v>
                </c:pt>
                <c:pt idx="19">
                  <c:v>48</c:v>
                </c:pt>
                <c:pt idx="20">
                  <c:v>53</c:v>
                </c:pt>
                <c:pt idx="21">
                  <c:v>48</c:v>
                </c:pt>
                <c:pt idx="22">
                  <c:v>23</c:v>
                </c:pt>
                <c:pt idx="23">
                  <c:v>80</c:v>
                </c:pt>
                <c:pt idx="24">
                  <c:v>47</c:v>
                </c:pt>
                <c:pt idx="25">
                  <c:v>43</c:v>
                </c:pt>
                <c:pt idx="26">
                  <c:v>27</c:v>
                </c:pt>
                <c:pt idx="27">
                  <c:v>67</c:v>
                </c:pt>
                <c:pt idx="28">
                  <c:v>58</c:v>
                </c:pt>
              </c:numCache>
            </c:numRef>
          </c:val>
          <c:smooth val="0"/>
        </c:ser>
        <c:dLbls>
          <c:showLegendKey val="0"/>
          <c:showVal val="0"/>
          <c:showCatName val="0"/>
          <c:showSerName val="0"/>
          <c:showPercent val="0"/>
          <c:showBubbleSize val="0"/>
        </c:dLbls>
        <c:smooth val="0"/>
        <c:axId val="343941152"/>
        <c:axId val="343941544"/>
      </c:lineChart>
      <c:catAx>
        <c:axId val="343941152"/>
        <c:scaling>
          <c:orientation val="minMax"/>
        </c:scaling>
        <c:delete val="0"/>
        <c:axPos val="b"/>
        <c:numFmt formatCode="General" sourceLinked="0"/>
        <c:majorTickMark val="out"/>
        <c:minorTickMark val="none"/>
        <c:tickLblPos val="nextTo"/>
        <c:txPr>
          <a:bodyPr/>
          <a:lstStyle/>
          <a:p>
            <a:pPr>
              <a:defRPr sz="800" baseline="0"/>
            </a:pPr>
            <a:endParaRPr lang="en-US"/>
          </a:p>
        </c:txPr>
        <c:crossAx val="343941544"/>
        <c:crosses val="autoZero"/>
        <c:auto val="1"/>
        <c:lblAlgn val="ctr"/>
        <c:lblOffset val="100"/>
        <c:noMultiLvlLbl val="0"/>
      </c:catAx>
      <c:valAx>
        <c:axId val="343941544"/>
        <c:scaling>
          <c:orientation val="minMax"/>
        </c:scaling>
        <c:delete val="0"/>
        <c:axPos val="l"/>
        <c:majorGridlines/>
        <c:numFmt formatCode="General" sourceLinked="1"/>
        <c:majorTickMark val="out"/>
        <c:minorTickMark val="none"/>
        <c:tickLblPos val="nextTo"/>
        <c:crossAx val="343941152"/>
        <c:crosses val="autoZero"/>
        <c:crossBetween val="between"/>
      </c:valAx>
    </c:plotArea>
    <c:legend>
      <c:legendPos val="b"/>
      <c:layout/>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[DTOC 2016_17 to 2018_19 revised1.xlsx]comparators (2)!PivotTable2</c:name>
    <c:fmtId val="867"/>
  </c:pivotSource>
  <c:chart>
    <c:title>
      <c:tx>
        <c:rich>
          <a:bodyPr/>
          <a:lstStyle/>
          <a:p>
            <a:pPr>
              <a:defRPr/>
            </a:pPr>
            <a:r>
              <a:rPr lang="en-GB" sz="1200" b="1" i="0" baseline="0">
                <a:effectLst/>
              </a:rPr>
              <a:t>East Lancs acute/non-acute trend for social care delays - Lancashire </a:t>
            </a:r>
            <a:endParaRPr lang="en-GB" sz="1200">
              <a:effectLst/>
            </a:endParaRPr>
          </a:p>
        </c:rich>
      </c:tx>
      <c:layout>
        <c:manualLayout>
          <c:xMode val="edge"/>
          <c:yMode val="edge"/>
          <c:x val="0.14552071512125286"/>
          <c:y val="3.0293665236414066E-2"/>
        </c:manualLayout>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pivotFmt>
      <c:pivotFmt>
        <c:idx val="61"/>
        <c:marker>
          <c:symbol val="none"/>
        </c:marker>
      </c:pivotFmt>
      <c:pivotFmt>
        <c:idx val="62"/>
        <c:marker>
          <c:symbol val="none"/>
        </c:marker>
      </c:pivotFmt>
      <c:pivotFmt>
        <c:idx val="63"/>
        <c:marker>
          <c:symbol val="none"/>
        </c:marker>
      </c:pivotFmt>
      <c:pivotFmt>
        <c:idx val="64"/>
        <c:marker>
          <c:symbol val="none"/>
        </c:marker>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pivotFmt>
      <c:pivotFmt>
        <c:idx val="76"/>
        <c:marker>
          <c:symbol val="none"/>
        </c:marker>
      </c:pivotFmt>
      <c:pivotFmt>
        <c:idx val="77"/>
        <c:marker>
          <c:symbol val="none"/>
        </c:marker>
      </c:pivotFmt>
      <c:pivotFmt>
        <c:idx val="78"/>
        <c:marker>
          <c:symbol val="none"/>
        </c:marker>
      </c:pivotFmt>
      <c:pivotFmt>
        <c:idx val="79"/>
        <c:marker>
          <c:symbol val="none"/>
        </c:marker>
      </c:pivotFmt>
      <c:pivotFmt>
        <c:idx val="80"/>
        <c:marker>
          <c:symbol val="none"/>
        </c:marker>
      </c:pivotFmt>
      <c:pivotFmt>
        <c:idx val="81"/>
        <c:marker>
          <c:symbol val="none"/>
        </c:marker>
      </c:pivotFmt>
      <c:pivotFmt>
        <c:idx val="82"/>
        <c:marker>
          <c:symbol val="none"/>
        </c:marker>
      </c:pivotFmt>
      <c:pivotFmt>
        <c:idx val="83"/>
        <c:marker>
          <c:symbol val="none"/>
        </c:marker>
      </c:pivotFmt>
      <c:pivotFmt>
        <c:idx val="84"/>
        <c:marker>
          <c:symbol val="none"/>
        </c:marker>
      </c:pivotFmt>
      <c:pivotFmt>
        <c:idx val="85"/>
        <c:marker>
          <c:symbol val="none"/>
        </c:marker>
      </c:pivotFmt>
      <c:pivotFmt>
        <c:idx val="86"/>
        <c:marker>
          <c:symbol val="none"/>
        </c:marker>
      </c:pivotFmt>
      <c:pivotFmt>
        <c:idx val="87"/>
        <c:marker>
          <c:symbol val="none"/>
        </c:marker>
      </c:pivotFmt>
      <c:pivotFmt>
        <c:idx val="88"/>
        <c:marker>
          <c:symbol val="none"/>
        </c:marker>
      </c:pivotFmt>
      <c:pivotFmt>
        <c:idx val="89"/>
        <c:marker>
          <c:symbol val="none"/>
        </c:marker>
      </c:pivotFmt>
      <c:pivotFmt>
        <c:idx val="90"/>
        <c:marker>
          <c:symbol val="none"/>
        </c:marker>
      </c:pivotFmt>
      <c:pivotFmt>
        <c:idx val="91"/>
        <c:marker>
          <c:symbol val="none"/>
        </c:marker>
      </c:pivotFmt>
      <c:pivotFmt>
        <c:idx val="92"/>
        <c:marker>
          <c:symbol val="none"/>
        </c:marker>
      </c:pivotFmt>
      <c:pivotFmt>
        <c:idx val="93"/>
        <c:marker>
          <c:symbol val="none"/>
        </c:marker>
      </c:pivotFmt>
      <c:pivotFmt>
        <c:idx val="94"/>
        <c:marker>
          <c:symbol val="none"/>
        </c:marker>
      </c:pivotFmt>
      <c:pivotFmt>
        <c:idx val="95"/>
        <c:marker>
          <c:symbol val="none"/>
        </c:marker>
      </c:pivotFmt>
      <c:pivotFmt>
        <c:idx val="96"/>
        <c:marker>
          <c:symbol val="none"/>
        </c:marker>
      </c:pivotFmt>
      <c:pivotFmt>
        <c:idx val="97"/>
        <c:marker>
          <c:symbol val="none"/>
        </c:marker>
      </c:pivotFmt>
      <c:pivotFmt>
        <c:idx val="98"/>
        <c:marker>
          <c:symbol val="none"/>
        </c:marker>
      </c:pivotFmt>
      <c:pivotFmt>
        <c:idx val="99"/>
        <c:marker>
          <c:symbol val="none"/>
        </c:marker>
      </c:pivotFmt>
      <c:pivotFmt>
        <c:idx val="100"/>
        <c:marker>
          <c:symbol val="none"/>
        </c:marker>
      </c:pivotFmt>
      <c:pivotFmt>
        <c:idx val="101"/>
      </c:pivotFmt>
      <c:pivotFmt>
        <c:idx val="102"/>
        <c:marker>
          <c:symbol val="none"/>
        </c:marker>
      </c:pivotFmt>
      <c:pivotFmt>
        <c:idx val="103"/>
        <c:marker>
          <c:symbol val="none"/>
        </c:marker>
      </c:pivotFmt>
      <c:pivotFmt>
        <c:idx val="104"/>
        <c:marker>
          <c:symbol val="none"/>
        </c:marker>
      </c:pivotFmt>
      <c:pivotFmt>
        <c:idx val="105"/>
      </c:pivotFmt>
      <c:pivotFmt>
        <c:idx val="106"/>
      </c:pivotFmt>
      <c:pivotFmt>
        <c:idx val="107"/>
      </c:pivotFmt>
      <c:pivotFmt>
        <c:idx val="108"/>
      </c:pivotFmt>
      <c:pivotFmt>
        <c:idx val="109"/>
      </c:pivotFmt>
      <c:pivotFmt>
        <c:idx val="110"/>
      </c:pivotFmt>
      <c:pivotFmt>
        <c:idx val="111"/>
      </c:pivotFmt>
      <c:pivotFmt>
        <c:idx val="112"/>
      </c:pivotFmt>
      <c:pivotFmt>
        <c:idx val="113"/>
      </c:pivotFmt>
      <c:pivotFmt>
        <c:idx val="114"/>
      </c:pivotFmt>
      <c:pivotFmt>
        <c:idx val="115"/>
      </c:pivotFmt>
      <c:pivotFmt>
        <c:idx val="116"/>
      </c:pivotFmt>
      <c:pivotFmt>
        <c:idx val="117"/>
      </c:pivotFmt>
      <c:pivotFmt>
        <c:idx val="118"/>
      </c:pivotFmt>
      <c:pivotFmt>
        <c:idx val="119"/>
      </c:pivotFmt>
      <c:pivotFmt>
        <c:idx val="120"/>
      </c:pivotFmt>
      <c:pivotFmt>
        <c:idx val="121"/>
      </c:pivotFmt>
      <c:pivotFmt>
        <c:idx val="122"/>
      </c:pivotFmt>
      <c:pivotFmt>
        <c:idx val="123"/>
        <c:marker>
          <c:symbol val="none"/>
        </c:marker>
      </c:pivotFmt>
      <c:pivotFmt>
        <c:idx val="124"/>
        <c:marker>
          <c:symbol val="none"/>
        </c:marker>
      </c:pivotFmt>
      <c:pivotFmt>
        <c:idx val="125"/>
        <c:marker>
          <c:symbol val="none"/>
        </c:marker>
      </c:pivotFmt>
      <c:pivotFmt>
        <c:idx val="126"/>
        <c:marker>
          <c:symbol val="none"/>
        </c:marker>
      </c:pivotFmt>
      <c:pivotFmt>
        <c:idx val="127"/>
        <c:marker>
          <c:symbol val="none"/>
        </c:marker>
      </c:pivotFmt>
      <c:pivotFmt>
        <c:idx val="128"/>
        <c:marker>
          <c:symbol val="none"/>
        </c:marker>
      </c:pivotFmt>
      <c:pivotFmt>
        <c:idx val="129"/>
        <c:marker>
          <c:symbol val="none"/>
        </c:marker>
      </c:pivotFmt>
      <c:pivotFmt>
        <c:idx val="130"/>
        <c:marker>
          <c:symbol val="none"/>
        </c:marker>
      </c:pivotFmt>
      <c:pivotFmt>
        <c:idx val="131"/>
        <c:marker>
          <c:symbol val="none"/>
        </c:marker>
      </c:pivotFmt>
      <c:pivotFmt>
        <c:idx val="132"/>
        <c:marker>
          <c:symbol val="none"/>
        </c:marker>
      </c:pivotFmt>
      <c:pivotFmt>
        <c:idx val="133"/>
        <c:marker>
          <c:symbol val="none"/>
        </c:marker>
      </c:pivotFmt>
      <c:pivotFmt>
        <c:idx val="134"/>
        <c:marker>
          <c:symbol val="none"/>
        </c:marker>
      </c:pivotFmt>
      <c:pivotFmt>
        <c:idx val="135"/>
        <c:marker>
          <c:symbol val="none"/>
        </c:marker>
      </c:pivotFmt>
      <c:pivotFmt>
        <c:idx val="136"/>
        <c:marker>
          <c:symbol val="none"/>
        </c:marker>
      </c:pivotFmt>
      <c:pivotFmt>
        <c:idx val="137"/>
        <c:marker>
          <c:symbol val="none"/>
        </c:marker>
      </c:pivotFmt>
      <c:pivotFmt>
        <c:idx val="138"/>
        <c:marker>
          <c:symbol val="none"/>
        </c:marker>
      </c:pivotFmt>
      <c:pivotFmt>
        <c:idx val="139"/>
        <c:marker>
          <c:symbol val="none"/>
        </c:marker>
      </c:pivotFmt>
      <c:pivotFmt>
        <c:idx val="140"/>
        <c:marker>
          <c:symbol val="none"/>
        </c:marker>
      </c:pivotFmt>
      <c:pivotFmt>
        <c:idx val="141"/>
        <c:marker>
          <c:symbol val="none"/>
        </c:marker>
      </c:pivotFmt>
      <c:pivotFmt>
        <c:idx val="142"/>
        <c:marker>
          <c:symbol val="none"/>
        </c:marker>
      </c:pivotFmt>
      <c:pivotFmt>
        <c:idx val="143"/>
        <c:marker>
          <c:symbol val="none"/>
        </c:marker>
      </c:pivotFmt>
      <c:pivotFmt>
        <c:idx val="144"/>
        <c:marker>
          <c:symbol val="none"/>
        </c:marker>
      </c:pivotFmt>
      <c:pivotFmt>
        <c:idx val="145"/>
        <c:marker>
          <c:symbol val="none"/>
        </c:marker>
      </c:pivotFmt>
      <c:pivotFmt>
        <c:idx val="146"/>
        <c:marker>
          <c:symbol val="none"/>
        </c:marker>
      </c:pivotFmt>
      <c:pivotFmt>
        <c:idx val="147"/>
        <c:marker>
          <c:symbol val="none"/>
        </c:marker>
      </c:pivotFmt>
      <c:pivotFmt>
        <c:idx val="148"/>
        <c:marker>
          <c:symbol val="none"/>
        </c:marker>
      </c:pivotFmt>
      <c:pivotFmt>
        <c:idx val="149"/>
        <c:marker>
          <c:symbol val="none"/>
        </c:marker>
      </c:pivotFmt>
      <c:pivotFmt>
        <c:idx val="150"/>
        <c:marker>
          <c:symbol val="none"/>
        </c:marker>
      </c:pivotFmt>
      <c:pivotFmt>
        <c:idx val="151"/>
        <c:marker>
          <c:symbol val="none"/>
        </c:marker>
      </c:pivotFmt>
      <c:pivotFmt>
        <c:idx val="152"/>
        <c:marker>
          <c:symbol val="none"/>
        </c:marker>
      </c:pivotFmt>
      <c:pivotFmt>
        <c:idx val="153"/>
        <c:marker>
          <c:symbol val="none"/>
        </c:marker>
      </c:pivotFmt>
      <c:pivotFmt>
        <c:idx val="154"/>
        <c:marker>
          <c:symbol val="none"/>
        </c:marker>
      </c:pivotFmt>
      <c:pivotFmt>
        <c:idx val="155"/>
        <c:marker>
          <c:symbol val="none"/>
        </c:marker>
      </c:pivotFmt>
      <c:pivotFmt>
        <c:idx val="156"/>
        <c:marker>
          <c:symbol val="none"/>
        </c:marker>
      </c:pivotFmt>
      <c:pivotFmt>
        <c:idx val="157"/>
        <c:marker>
          <c:symbol val="none"/>
        </c:marker>
      </c:pivotFmt>
      <c:pivotFmt>
        <c:idx val="158"/>
        <c:marker>
          <c:symbol val="none"/>
        </c:marker>
      </c:pivotFmt>
      <c:pivotFmt>
        <c:idx val="159"/>
        <c:marker>
          <c:symbol val="none"/>
        </c:marker>
      </c:pivotFmt>
      <c:pivotFmt>
        <c:idx val="160"/>
        <c:marker>
          <c:symbol val="none"/>
        </c:marker>
      </c:pivotFmt>
      <c:pivotFmt>
        <c:idx val="161"/>
        <c:marker>
          <c:symbol val="none"/>
        </c:marker>
      </c:pivotFmt>
      <c:pivotFmt>
        <c:idx val="162"/>
        <c:marker>
          <c:symbol val="none"/>
        </c:marker>
      </c:pivotFmt>
      <c:pivotFmt>
        <c:idx val="163"/>
        <c:marker>
          <c:symbol val="none"/>
        </c:marker>
      </c:pivotFmt>
      <c:pivotFmt>
        <c:idx val="164"/>
        <c:marker>
          <c:symbol val="none"/>
        </c:marker>
      </c:pivotFmt>
      <c:pivotFmt>
        <c:idx val="165"/>
        <c:marker>
          <c:symbol val="none"/>
        </c:marker>
      </c:pivotFmt>
      <c:pivotFmt>
        <c:idx val="166"/>
        <c:marker>
          <c:symbol val="none"/>
        </c:marker>
      </c:pivotFmt>
      <c:pivotFmt>
        <c:idx val="167"/>
        <c:marker>
          <c:symbol val="none"/>
        </c:marker>
      </c:pivotFmt>
      <c:pivotFmt>
        <c:idx val="168"/>
        <c:marker>
          <c:symbol val="none"/>
        </c:marker>
      </c:pivotFmt>
      <c:pivotFmt>
        <c:idx val="169"/>
        <c:marker>
          <c:symbol val="none"/>
        </c:marker>
      </c:pivotFmt>
      <c:pivotFmt>
        <c:idx val="170"/>
        <c:marker>
          <c:symbol val="none"/>
        </c:marker>
      </c:pivotFmt>
      <c:pivotFmt>
        <c:idx val="171"/>
        <c:marker>
          <c:symbol val="none"/>
        </c:marker>
      </c:pivotFmt>
      <c:pivotFmt>
        <c:idx val="172"/>
        <c:marker>
          <c:symbol val="none"/>
        </c:marker>
      </c:pivotFmt>
      <c:pivotFmt>
        <c:idx val="173"/>
        <c:marker>
          <c:symbol val="none"/>
        </c:marker>
      </c:pivotFmt>
      <c:pivotFmt>
        <c:idx val="174"/>
        <c:marker>
          <c:symbol val="none"/>
        </c:marker>
      </c:pivotFmt>
      <c:pivotFmt>
        <c:idx val="175"/>
        <c:marker>
          <c:symbol val="none"/>
        </c:marker>
      </c:pivotFmt>
      <c:pivotFmt>
        <c:idx val="176"/>
        <c:marker>
          <c:symbol val="none"/>
        </c:marker>
      </c:pivotFmt>
      <c:pivotFmt>
        <c:idx val="177"/>
        <c:marker>
          <c:symbol val="none"/>
        </c:marker>
      </c:pivotFmt>
      <c:pivotFmt>
        <c:idx val="178"/>
        <c:marker>
          <c:symbol val="none"/>
        </c:marker>
      </c:pivotFmt>
      <c:pivotFmt>
        <c:idx val="179"/>
        <c:marker>
          <c:symbol val="none"/>
        </c:marker>
      </c:pivotFmt>
      <c:pivotFmt>
        <c:idx val="180"/>
        <c:marker>
          <c:symbol val="none"/>
        </c:marker>
      </c:pivotFmt>
      <c:pivotFmt>
        <c:idx val="181"/>
        <c:marker>
          <c:symbol val="none"/>
        </c:marker>
      </c:pivotFmt>
      <c:pivotFmt>
        <c:idx val="182"/>
        <c:marker>
          <c:symbol val="none"/>
        </c:marker>
      </c:pivotFmt>
      <c:pivotFmt>
        <c:idx val="183"/>
        <c:marker>
          <c:symbol val="none"/>
        </c:marker>
      </c:pivotFmt>
      <c:pivotFmt>
        <c:idx val="184"/>
        <c:marker>
          <c:symbol val="none"/>
        </c:marker>
      </c:pivotFmt>
      <c:pivotFmt>
        <c:idx val="185"/>
        <c:marker>
          <c:symbol val="none"/>
        </c:marker>
      </c:pivotFmt>
      <c:pivotFmt>
        <c:idx val="186"/>
        <c:marker>
          <c:symbol val="none"/>
        </c:marker>
      </c:pivotFmt>
      <c:pivotFmt>
        <c:idx val="187"/>
        <c:marker>
          <c:symbol val="none"/>
        </c:marker>
      </c:pivotFmt>
      <c:pivotFmt>
        <c:idx val="188"/>
        <c:marker>
          <c:symbol val="none"/>
        </c:marker>
      </c:pivotFmt>
      <c:pivotFmt>
        <c:idx val="189"/>
        <c:marker>
          <c:symbol val="none"/>
        </c:marker>
      </c:pivotFmt>
      <c:pivotFmt>
        <c:idx val="190"/>
        <c:marker>
          <c:symbol val="none"/>
        </c:marker>
      </c:pivotFmt>
      <c:pivotFmt>
        <c:idx val="191"/>
        <c:marker>
          <c:symbol val="none"/>
        </c:marker>
      </c:pivotFmt>
      <c:pivotFmt>
        <c:idx val="192"/>
        <c:marker>
          <c:symbol val="none"/>
        </c:marker>
      </c:pivotFmt>
      <c:pivotFmt>
        <c:idx val="193"/>
        <c:marker>
          <c:symbol val="none"/>
        </c:marker>
      </c:pivotFmt>
      <c:pivotFmt>
        <c:idx val="194"/>
        <c:marker>
          <c:symbol val="none"/>
        </c:marker>
      </c:pivotFmt>
      <c:pivotFmt>
        <c:idx val="195"/>
        <c:marker>
          <c:symbol val="none"/>
        </c:marker>
      </c:pivotFmt>
      <c:pivotFmt>
        <c:idx val="196"/>
        <c:marker>
          <c:symbol val="none"/>
        </c:marker>
      </c:pivotFmt>
      <c:pivotFmt>
        <c:idx val="197"/>
        <c:marker>
          <c:symbol val="none"/>
        </c:marker>
      </c:pivotFmt>
      <c:pivotFmt>
        <c:idx val="198"/>
        <c:marker>
          <c:symbol val="none"/>
        </c:marker>
      </c:pivotFmt>
      <c:pivotFmt>
        <c:idx val="199"/>
        <c:marker>
          <c:symbol val="none"/>
        </c:marker>
      </c:pivotFmt>
      <c:pivotFmt>
        <c:idx val="200"/>
        <c:marker>
          <c:symbol val="none"/>
        </c:marker>
      </c:pivotFmt>
      <c:pivotFmt>
        <c:idx val="201"/>
        <c:marker>
          <c:symbol val="none"/>
        </c:marker>
      </c:pivotFmt>
      <c:pivotFmt>
        <c:idx val="202"/>
        <c:marker>
          <c:symbol val="none"/>
        </c:marker>
      </c:pivotFmt>
      <c:pivotFmt>
        <c:idx val="203"/>
        <c:marker>
          <c:symbol val="none"/>
        </c:marker>
      </c:pivotFmt>
      <c:pivotFmt>
        <c:idx val="204"/>
        <c:marker>
          <c:symbol val="none"/>
        </c:marker>
      </c:pivotFmt>
      <c:pivotFmt>
        <c:idx val="205"/>
        <c:marker>
          <c:symbol val="none"/>
        </c:marker>
      </c:pivotFmt>
      <c:pivotFmt>
        <c:idx val="206"/>
        <c:marker>
          <c:symbol val="none"/>
        </c:marker>
      </c:pivotFmt>
      <c:pivotFmt>
        <c:idx val="207"/>
        <c:marker>
          <c:symbol val="none"/>
        </c:marker>
      </c:pivotFmt>
      <c:pivotFmt>
        <c:idx val="208"/>
        <c:marker>
          <c:symbol val="none"/>
        </c:marker>
      </c:pivotFmt>
      <c:pivotFmt>
        <c:idx val="209"/>
        <c:marker>
          <c:symbol val="none"/>
        </c:marker>
      </c:pivotFmt>
      <c:pivotFmt>
        <c:idx val="210"/>
        <c:marker>
          <c:symbol val="none"/>
        </c:marker>
      </c:pivotFmt>
      <c:pivotFmt>
        <c:idx val="211"/>
        <c:marker>
          <c:symbol val="none"/>
        </c:marker>
      </c:pivotFmt>
      <c:pivotFmt>
        <c:idx val="212"/>
        <c:marker>
          <c:symbol val="none"/>
        </c:marker>
      </c:pivotFmt>
      <c:pivotFmt>
        <c:idx val="213"/>
        <c:marker>
          <c:symbol val="none"/>
        </c:marker>
      </c:pivotFmt>
      <c:pivotFmt>
        <c:idx val="214"/>
        <c:marker>
          <c:symbol val="none"/>
        </c:marker>
      </c:pivotFmt>
      <c:pivotFmt>
        <c:idx val="215"/>
        <c:marker>
          <c:symbol val="none"/>
        </c:marker>
      </c:pivotFmt>
      <c:pivotFmt>
        <c:idx val="216"/>
        <c:marker>
          <c:symbol val="none"/>
        </c:marker>
      </c:pivotFmt>
      <c:pivotFmt>
        <c:idx val="217"/>
        <c:marker>
          <c:symbol val="none"/>
        </c:marker>
      </c:pivotFmt>
      <c:pivotFmt>
        <c:idx val="218"/>
        <c:marker>
          <c:symbol val="none"/>
        </c:marker>
      </c:pivotFmt>
      <c:pivotFmt>
        <c:idx val="219"/>
        <c:marker>
          <c:symbol val="none"/>
        </c:marker>
      </c:pivotFmt>
      <c:pivotFmt>
        <c:idx val="220"/>
        <c:marker>
          <c:symbol val="none"/>
        </c:marker>
      </c:pivotFmt>
      <c:pivotFmt>
        <c:idx val="221"/>
        <c:marker>
          <c:symbol val="none"/>
        </c:marker>
      </c:pivotFmt>
      <c:pivotFmt>
        <c:idx val="222"/>
        <c:marker>
          <c:symbol val="none"/>
        </c:marker>
      </c:pivotFmt>
      <c:pivotFmt>
        <c:idx val="223"/>
        <c:marker>
          <c:symbol val="none"/>
        </c:marker>
      </c:pivotFmt>
      <c:pivotFmt>
        <c:idx val="224"/>
        <c:marker>
          <c:symbol val="none"/>
        </c:marker>
      </c:pivotFmt>
      <c:pivotFmt>
        <c:idx val="225"/>
        <c:marker>
          <c:symbol val="none"/>
        </c:marker>
      </c:pivotFmt>
      <c:pivotFmt>
        <c:idx val="226"/>
        <c:marker>
          <c:symbol val="none"/>
        </c:marker>
      </c:pivotFmt>
      <c:pivotFmt>
        <c:idx val="227"/>
        <c:marker>
          <c:symbol val="none"/>
        </c:marker>
      </c:pivotFmt>
      <c:pivotFmt>
        <c:idx val="228"/>
        <c:marker>
          <c:symbol val="none"/>
        </c:marker>
      </c:pivotFmt>
      <c:pivotFmt>
        <c:idx val="229"/>
        <c:marker>
          <c:symbol val="none"/>
        </c:marker>
      </c:pivotFmt>
      <c:pivotFmt>
        <c:idx val="230"/>
        <c:marker>
          <c:symbol val="none"/>
        </c:marker>
      </c:pivotFmt>
      <c:pivotFmt>
        <c:idx val="231"/>
        <c:marker>
          <c:symbol val="none"/>
        </c:marker>
      </c:pivotFmt>
      <c:pivotFmt>
        <c:idx val="232"/>
        <c:marker>
          <c:symbol val="none"/>
        </c:marker>
      </c:pivotFmt>
      <c:pivotFmt>
        <c:idx val="233"/>
        <c:marker>
          <c:symbol val="none"/>
        </c:marker>
      </c:pivotFmt>
      <c:pivotFmt>
        <c:idx val="234"/>
        <c:marker>
          <c:symbol val="none"/>
        </c:marker>
      </c:pivotFmt>
      <c:pivotFmt>
        <c:idx val="235"/>
        <c:marker>
          <c:symbol val="none"/>
        </c:marker>
      </c:pivotFmt>
      <c:pivotFmt>
        <c:idx val="236"/>
        <c:marker>
          <c:symbol val="none"/>
        </c:marker>
      </c:pivotFmt>
      <c:pivotFmt>
        <c:idx val="237"/>
        <c:marker>
          <c:symbol val="none"/>
        </c:marker>
      </c:pivotFmt>
      <c:pivotFmt>
        <c:idx val="238"/>
        <c:marker>
          <c:symbol val="none"/>
        </c:marker>
      </c:pivotFmt>
      <c:pivotFmt>
        <c:idx val="239"/>
        <c:marker>
          <c:symbol val="none"/>
        </c:marker>
      </c:pivotFmt>
      <c:pivotFmt>
        <c:idx val="240"/>
        <c:marker>
          <c:symbol val="none"/>
        </c:marker>
      </c:pivotFmt>
      <c:pivotFmt>
        <c:idx val="241"/>
        <c:marker>
          <c:symbol val="none"/>
        </c:marker>
      </c:pivotFmt>
      <c:pivotFmt>
        <c:idx val="242"/>
        <c:marker>
          <c:symbol val="none"/>
        </c:marker>
      </c:pivotFmt>
      <c:pivotFmt>
        <c:idx val="243"/>
        <c:marker>
          <c:symbol val="none"/>
        </c:marker>
      </c:pivotFmt>
      <c:pivotFmt>
        <c:idx val="244"/>
        <c:marker>
          <c:symbol val="none"/>
        </c:marker>
      </c:pivotFmt>
      <c:pivotFmt>
        <c:idx val="245"/>
        <c:marker>
          <c:symbol val="none"/>
        </c:marker>
      </c:pivotFmt>
      <c:pivotFmt>
        <c:idx val="246"/>
        <c:marker>
          <c:symbol val="none"/>
        </c:marker>
      </c:pivotFmt>
      <c:pivotFmt>
        <c:idx val="247"/>
        <c:marker>
          <c:symbol val="none"/>
        </c:marker>
      </c:pivotFmt>
      <c:pivotFmt>
        <c:idx val="248"/>
        <c:marker>
          <c:symbol val="none"/>
        </c:marker>
      </c:pivotFmt>
      <c:pivotFmt>
        <c:idx val="249"/>
        <c:marker>
          <c:symbol val="none"/>
        </c:marker>
      </c:pivotFmt>
      <c:pivotFmt>
        <c:idx val="250"/>
        <c:marker>
          <c:symbol val="none"/>
        </c:marker>
      </c:pivotFmt>
      <c:pivotFmt>
        <c:idx val="251"/>
        <c:marker>
          <c:symbol val="none"/>
        </c:marker>
      </c:pivotFmt>
      <c:pivotFmt>
        <c:idx val="252"/>
        <c:marker>
          <c:symbol val="none"/>
        </c:marker>
      </c:pivotFmt>
      <c:pivotFmt>
        <c:idx val="253"/>
        <c:marker>
          <c:symbol val="none"/>
        </c:marker>
      </c:pivotFmt>
      <c:pivotFmt>
        <c:idx val="254"/>
        <c:marker>
          <c:symbol val="none"/>
        </c:marker>
      </c:pivotFmt>
      <c:pivotFmt>
        <c:idx val="255"/>
        <c:marker>
          <c:symbol val="none"/>
        </c:marker>
      </c:pivotFmt>
      <c:pivotFmt>
        <c:idx val="256"/>
        <c:marker>
          <c:symbol val="none"/>
        </c:marker>
      </c:pivotFmt>
      <c:pivotFmt>
        <c:idx val="257"/>
        <c:marker>
          <c:symbol val="none"/>
        </c:marker>
      </c:pivotFmt>
      <c:pivotFmt>
        <c:idx val="258"/>
        <c:marker>
          <c:symbol val="none"/>
        </c:marker>
      </c:pivotFmt>
      <c:pivotFmt>
        <c:idx val="259"/>
        <c:marker>
          <c:symbol val="none"/>
        </c:marker>
      </c:pivotFmt>
      <c:pivotFmt>
        <c:idx val="260"/>
        <c:marker>
          <c:symbol val="none"/>
        </c:marker>
      </c:pivotFmt>
      <c:pivotFmt>
        <c:idx val="261"/>
        <c:marker>
          <c:symbol val="none"/>
        </c:marker>
      </c:pivotFmt>
      <c:pivotFmt>
        <c:idx val="262"/>
        <c:marker>
          <c:symbol val="none"/>
        </c:marker>
      </c:pivotFmt>
      <c:pivotFmt>
        <c:idx val="263"/>
        <c:marker>
          <c:symbol val="none"/>
        </c:marker>
      </c:pivotFmt>
      <c:pivotFmt>
        <c:idx val="264"/>
        <c:marker>
          <c:symbol val="none"/>
        </c:marker>
      </c:pivotFmt>
      <c:pivotFmt>
        <c:idx val="265"/>
        <c:marker>
          <c:symbol val="none"/>
        </c:marker>
      </c:pivotFmt>
      <c:pivotFmt>
        <c:idx val="266"/>
        <c:marker>
          <c:symbol val="none"/>
        </c:marker>
      </c:pivotFmt>
      <c:pivotFmt>
        <c:idx val="267"/>
        <c:marker>
          <c:symbol val="none"/>
        </c:marker>
      </c:pivotFmt>
      <c:pivotFmt>
        <c:idx val="268"/>
        <c:marker>
          <c:symbol val="none"/>
        </c:marker>
      </c:pivotFmt>
      <c:pivotFmt>
        <c:idx val="269"/>
        <c:marker>
          <c:symbol val="none"/>
        </c:marker>
      </c:pivotFmt>
      <c:pivotFmt>
        <c:idx val="270"/>
        <c:marker>
          <c:symbol val="none"/>
        </c:marker>
      </c:pivotFmt>
      <c:pivotFmt>
        <c:idx val="271"/>
        <c:marker>
          <c:symbol val="none"/>
        </c:marker>
      </c:pivotFmt>
      <c:pivotFmt>
        <c:idx val="272"/>
        <c:marker>
          <c:symbol val="none"/>
        </c:marker>
      </c:pivotFmt>
      <c:pivotFmt>
        <c:idx val="273"/>
        <c:marker>
          <c:symbol val="none"/>
        </c:marker>
      </c:pivotFmt>
      <c:pivotFmt>
        <c:idx val="274"/>
        <c:marker>
          <c:symbol val="none"/>
        </c:marker>
      </c:pivotFmt>
      <c:pivotFmt>
        <c:idx val="275"/>
        <c:marker>
          <c:symbol val="none"/>
        </c:marker>
      </c:pivotFmt>
      <c:pivotFmt>
        <c:idx val="276"/>
        <c:marker>
          <c:symbol val="none"/>
        </c:marker>
      </c:pivotFmt>
      <c:pivotFmt>
        <c:idx val="277"/>
        <c:marker>
          <c:symbol val="none"/>
        </c:marker>
      </c:pivotFmt>
      <c:pivotFmt>
        <c:idx val="278"/>
        <c:marker>
          <c:symbol val="none"/>
        </c:marker>
      </c:pivotFmt>
      <c:pivotFmt>
        <c:idx val="279"/>
        <c:marker>
          <c:symbol val="none"/>
        </c:marker>
      </c:pivotFmt>
      <c:pivotFmt>
        <c:idx val="280"/>
        <c:marker>
          <c:symbol val="none"/>
        </c:marker>
      </c:pivotFmt>
      <c:pivotFmt>
        <c:idx val="281"/>
        <c:marker>
          <c:symbol val="none"/>
        </c:marker>
      </c:pivotFmt>
      <c:pivotFmt>
        <c:idx val="282"/>
        <c:marker>
          <c:symbol val="none"/>
        </c:marker>
      </c:pivotFmt>
      <c:pivotFmt>
        <c:idx val="283"/>
        <c:marker>
          <c:symbol val="none"/>
        </c:marker>
      </c:pivotFmt>
      <c:pivotFmt>
        <c:idx val="284"/>
        <c:marker>
          <c:symbol val="none"/>
        </c:marker>
      </c:pivotFmt>
      <c:pivotFmt>
        <c:idx val="285"/>
        <c:marker>
          <c:symbol val="none"/>
        </c:marker>
      </c:pivotFmt>
      <c:pivotFmt>
        <c:idx val="286"/>
        <c:marker>
          <c:symbol val="none"/>
        </c:marker>
      </c:pivotFmt>
      <c:pivotFmt>
        <c:idx val="287"/>
        <c:marker>
          <c:symbol val="none"/>
        </c:marker>
      </c:pivotFmt>
      <c:pivotFmt>
        <c:idx val="288"/>
        <c:marker>
          <c:symbol val="none"/>
        </c:marker>
      </c:pivotFmt>
      <c:pivotFmt>
        <c:idx val="289"/>
        <c:marker>
          <c:symbol val="none"/>
        </c:marker>
      </c:pivotFmt>
      <c:pivotFmt>
        <c:idx val="290"/>
        <c:marker>
          <c:symbol val="none"/>
        </c:marker>
      </c:pivotFmt>
      <c:pivotFmt>
        <c:idx val="291"/>
        <c:marker>
          <c:symbol val="none"/>
        </c:marker>
      </c:pivotFmt>
      <c:pivotFmt>
        <c:idx val="292"/>
        <c:marker>
          <c:symbol val="none"/>
        </c:marker>
      </c:pivotFmt>
      <c:pivotFmt>
        <c:idx val="293"/>
        <c:marker>
          <c:symbol val="none"/>
        </c:marker>
      </c:pivotFmt>
      <c:pivotFmt>
        <c:idx val="294"/>
        <c:marker>
          <c:symbol val="none"/>
        </c:marker>
      </c:pivotFmt>
      <c:pivotFmt>
        <c:idx val="295"/>
        <c:marker>
          <c:symbol val="none"/>
        </c:marker>
      </c:pivotFmt>
      <c:pivotFmt>
        <c:idx val="296"/>
        <c:marker>
          <c:symbol val="none"/>
        </c:marker>
      </c:pivotFmt>
      <c:pivotFmt>
        <c:idx val="297"/>
        <c:marker>
          <c:symbol val="none"/>
        </c:marker>
      </c:pivotFmt>
      <c:pivotFmt>
        <c:idx val="298"/>
        <c:marker>
          <c:symbol val="none"/>
        </c:marker>
      </c:pivotFmt>
      <c:pivotFmt>
        <c:idx val="299"/>
        <c:marker>
          <c:symbol val="none"/>
        </c:marker>
      </c:pivotFmt>
      <c:pivotFmt>
        <c:idx val="300"/>
        <c:marker>
          <c:symbol val="none"/>
        </c:marker>
      </c:pivotFmt>
      <c:pivotFmt>
        <c:idx val="301"/>
        <c:marker>
          <c:symbol val="none"/>
        </c:marker>
      </c:pivotFmt>
      <c:pivotFmt>
        <c:idx val="302"/>
        <c:marker>
          <c:symbol val="none"/>
        </c:marker>
      </c:pivotFmt>
      <c:pivotFmt>
        <c:idx val="303"/>
        <c:marker>
          <c:symbol val="none"/>
        </c:marker>
      </c:pivotFmt>
      <c:pivotFmt>
        <c:idx val="304"/>
        <c:marker>
          <c:symbol val="none"/>
        </c:marker>
      </c:pivotFmt>
      <c:pivotFmt>
        <c:idx val="305"/>
        <c:marker>
          <c:symbol val="none"/>
        </c:marker>
      </c:pivotFmt>
      <c:pivotFmt>
        <c:idx val="306"/>
        <c:marker>
          <c:symbol val="none"/>
        </c:marker>
      </c:pivotFmt>
      <c:pivotFmt>
        <c:idx val="307"/>
        <c:marker>
          <c:symbol val="none"/>
        </c:marker>
      </c:pivotFmt>
      <c:pivotFmt>
        <c:idx val="308"/>
        <c:marker>
          <c:symbol val="none"/>
        </c:marker>
      </c:pivotFmt>
      <c:pivotFmt>
        <c:idx val="309"/>
        <c:marker>
          <c:symbol val="none"/>
        </c:marker>
      </c:pivotFmt>
      <c:pivotFmt>
        <c:idx val="310"/>
        <c:marker>
          <c:symbol val="none"/>
        </c:marker>
      </c:pivotFmt>
      <c:pivotFmt>
        <c:idx val="311"/>
        <c:marker>
          <c:symbol val="none"/>
        </c:marker>
      </c:pivotFmt>
      <c:pivotFmt>
        <c:idx val="312"/>
        <c:marker>
          <c:symbol val="none"/>
        </c:marker>
      </c:pivotFmt>
      <c:pivotFmt>
        <c:idx val="313"/>
        <c:marker>
          <c:symbol val="none"/>
        </c:marker>
      </c:pivotFmt>
      <c:pivotFmt>
        <c:idx val="314"/>
        <c:marker>
          <c:symbol val="none"/>
        </c:marker>
      </c:pivotFmt>
      <c:pivotFmt>
        <c:idx val="315"/>
        <c:marker>
          <c:symbol val="none"/>
        </c:marker>
      </c:pivotFmt>
      <c:pivotFmt>
        <c:idx val="316"/>
        <c:marker>
          <c:symbol val="none"/>
        </c:marker>
      </c:pivotFmt>
      <c:pivotFmt>
        <c:idx val="317"/>
        <c:marker>
          <c:symbol val="none"/>
        </c:marker>
      </c:pivotFmt>
      <c:pivotFmt>
        <c:idx val="318"/>
        <c:marker>
          <c:symbol val="none"/>
        </c:marker>
      </c:pivotFmt>
      <c:pivotFmt>
        <c:idx val="319"/>
        <c:marker>
          <c:symbol val="none"/>
        </c:marker>
      </c:pivotFmt>
      <c:pivotFmt>
        <c:idx val="320"/>
        <c:marker>
          <c:symbol val="none"/>
        </c:marker>
      </c:pivotFmt>
      <c:pivotFmt>
        <c:idx val="321"/>
        <c:marker>
          <c:symbol val="none"/>
        </c:marker>
      </c:pivotFmt>
      <c:pivotFmt>
        <c:idx val="322"/>
        <c:marker>
          <c:symbol val="none"/>
        </c:marker>
      </c:pivotFmt>
      <c:pivotFmt>
        <c:idx val="323"/>
        <c:marker>
          <c:symbol val="none"/>
        </c:marker>
      </c:pivotFmt>
      <c:pivotFmt>
        <c:idx val="324"/>
        <c:marker>
          <c:symbol val="none"/>
        </c:marker>
      </c:pivotFmt>
      <c:pivotFmt>
        <c:idx val="325"/>
        <c:marker>
          <c:symbol val="none"/>
        </c:marker>
      </c:pivotFmt>
      <c:pivotFmt>
        <c:idx val="326"/>
        <c:marker>
          <c:symbol val="none"/>
        </c:marker>
      </c:pivotFmt>
      <c:pivotFmt>
        <c:idx val="327"/>
        <c:marker>
          <c:symbol val="none"/>
        </c:marker>
      </c:pivotFmt>
      <c:pivotFmt>
        <c:idx val="328"/>
        <c:marker>
          <c:symbol val="none"/>
        </c:marker>
      </c:pivotFmt>
      <c:pivotFmt>
        <c:idx val="329"/>
        <c:marker>
          <c:symbol val="none"/>
        </c:marker>
      </c:pivotFmt>
      <c:pivotFmt>
        <c:idx val="330"/>
        <c:marker>
          <c:symbol val="none"/>
        </c:marker>
      </c:pivotFmt>
      <c:pivotFmt>
        <c:idx val="331"/>
        <c:marker>
          <c:symbol val="none"/>
        </c:marker>
      </c:pivotFmt>
      <c:pivotFmt>
        <c:idx val="332"/>
        <c:marker>
          <c:symbol val="none"/>
        </c:marker>
      </c:pivotFmt>
      <c:pivotFmt>
        <c:idx val="333"/>
        <c:marker>
          <c:symbol val="none"/>
        </c:marker>
      </c:pivotFmt>
      <c:pivotFmt>
        <c:idx val="334"/>
        <c:marker>
          <c:symbol val="none"/>
        </c:marker>
      </c:pivotFmt>
      <c:pivotFmt>
        <c:idx val="335"/>
        <c:marker>
          <c:symbol val="none"/>
        </c:marker>
      </c:pivotFmt>
      <c:pivotFmt>
        <c:idx val="336"/>
        <c:marker>
          <c:symbol val="none"/>
        </c:marker>
      </c:pivotFmt>
      <c:pivotFmt>
        <c:idx val="337"/>
        <c:marker>
          <c:symbol val="none"/>
        </c:marker>
      </c:pivotFmt>
      <c:pivotFmt>
        <c:idx val="338"/>
        <c:marker>
          <c:symbol val="none"/>
        </c:marker>
      </c:pivotFmt>
      <c:pivotFmt>
        <c:idx val="339"/>
        <c:marker>
          <c:symbol val="none"/>
        </c:marker>
      </c:pivotFmt>
      <c:pivotFmt>
        <c:idx val="340"/>
        <c:marker>
          <c:symbol val="none"/>
        </c:marker>
      </c:pivotFmt>
      <c:pivotFmt>
        <c:idx val="341"/>
        <c:marker>
          <c:symbol val="none"/>
        </c:marker>
      </c:pivotFmt>
      <c:pivotFmt>
        <c:idx val="342"/>
        <c:marker>
          <c:symbol val="none"/>
        </c:marker>
      </c:pivotFmt>
      <c:pivotFmt>
        <c:idx val="343"/>
        <c:marker>
          <c:symbol val="none"/>
        </c:marker>
      </c:pivotFmt>
      <c:pivotFmt>
        <c:idx val="344"/>
        <c:marker>
          <c:symbol val="none"/>
        </c:marker>
      </c:pivotFmt>
      <c:pivotFmt>
        <c:idx val="345"/>
        <c:marker>
          <c:symbol val="none"/>
        </c:marker>
      </c:pivotFmt>
      <c:pivotFmt>
        <c:idx val="346"/>
        <c:marker>
          <c:symbol val="none"/>
        </c:marker>
      </c:pivotFmt>
      <c:pivotFmt>
        <c:idx val="347"/>
        <c:marker>
          <c:symbol val="none"/>
        </c:marker>
      </c:pivotFmt>
      <c:pivotFmt>
        <c:idx val="348"/>
        <c:marker>
          <c:symbol val="none"/>
        </c:marker>
      </c:pivotFmt>
      <c:pivotFmt>
        <c:idx val="349"/>
        <c:marker>
          <c:symbol val="none"/>
        </c:marker>
      </c:pivotFmt>
      <c:pivotFmt>
        <c:idx val="350"/>
        <c:marker>
          <c:symbol val="none"/>
        </c:marker>
      </c:pivotFmt>
      <c:pivotFmt>
        <c:idx val="351"/>
        <c:marker>
          <c:symbol val="none"/>
        </c:marker>
      </c:pivotFmt>
      <c:pivotFmt>
        <c:idx val="352"/>
        <c:marker>
          <c:symbol val="none"/>
        </c:marker>
      </c:pivotFmt>
      <c:pivotFmt>
        <c:idx val="353"/>
        <c:marker>
          <c:symbol val="none"/>
        </c:marker>
      </c:pivotFmt>
      <c:pivotFmt>
        <c:idx val="354"/>
        <c:marker>
          <c:symbol val="none"/>
        </c:marker>
      </c:pivotFmt>
      <c:pivotFmt>
        <c:idx val="355"/>
        <c:marker>
          <c:symbol val="none"/>
        </c:marker>
      </c:pivotFmt>
      <c:pivotFmt>
        <c:idx val="356"/>
        <c:marker>
          <c:symbol val="none"/>
        </c:marker>
      </c:pivotFmt>
      <c:pivotFmt>
        <c:idx val="357"/>
        <c:marker>
          <c:symbol val="none"/>
        </c:marker>
      </c:pivotFmt>
      <c:pivotFmt>
        <c:idx val="358"/>
        <c:marker>
          <c:symbol val="none"/>
        </c:marker>
      </c:pivotFmt>
      <c:pivotFmt>
        <c:idx val="359"/>
        <c:marker>
          <c:symbol val="none"/>
        </c:marker>
      </c:pivotFmt>
      <c:pivotFmt>
        <c:idx val="360"/>
        <c:marker>
          <c:symbol val="none"/>
        </c:marker>
      </c:pivotFmt>
      <c:pivotFmt>
        <c:idx val="361"/>
        <c:marker>
          <c:symbol val="none"/>
        </c:marker>
      </c:pivotFmt>
      <c:pivotFmt>
        <c:idx val="362"/>
        <c:marker>
          <c:symbol val="none"/>
        </c:marker>
      </c:pivotFmt>
      <c:pivotFmt>
        <c:idx val="363"/>
        <c:marker>
          <c:symbol val="none"/>
        </c:marker>
      </c:pivotFmt>
      <c:pivotFmt>
        <c:idx val="364"/>
        <c:marker>
          <c:symbol val="none"/>
        </c:marker>
      </c:pivotFmt>
      <c:pivotFmt>
        <c:idx val="365"/>
        <c:marker>
          <c:symbol val="none"/>
        </c:marker>
      </c:pivotFmt>
      <c:pivotFmt>
        <c:idx val="366"/>
        <c:marker>
          <c:symbol val="none"/>
        </c:marker>
      </c:pivotFmt>
      <c:pivotFmt>
        <c:idx val="367"/>
        <c:marker>
          <c:symbol val="none"/>
        </c:marker>
      </c:pivotFmt>
      <c:pivotFmt>
        <c:idx val="368"/>
        <c:marker>
          <c:symbol val="none"/>
        </c:marker>
      </c:pivotFmt>
      <c:pivotFmt>
        <c:idx val="369"/>
        <c:marker>
          <c:symbol val="none"/>
        </c:marker>
      </c:pivotFmt>
      <c:pivotFmt>
        <c:idx val="370"/>
        <c:marker>
          <c:symbol val="none"/>
        </c:marker>
      </c:pivotFmt>
      <c:pivotFmt>
        <c:idx val="371"/>
        <c:marker>
          <c:symbol val="none"/>
        </c:marker>
      </c:pivotFmt>
      <c:pivotFmt>
        <c:idx val="372"/>
        <c:marker>
          <c:symbol val="none"/>
        </c:marker>
      </c:pivotFmt>
      <c:pivotFmt>
        <c:idx val="373"/>
        <c:marker>
          <c:symbol val="none"/>
        </c:marker>
      </c:pivotFmt>
      <c:pivotFmt>
        <c:idx val="374"/>
        <c:marker>
          <c:symbol val="none"/>
        </c:marker>
      </c:pivotFmt>
      <c:pivotFmt>
        <c:idx val="375"/>
        <c:marker>
          <c:symbol val="none"/>
        </c:marker>
      </c:pivotFmt>
      <c:pivotFmt>
        <c:idx val="376"/>
        <c:marker>
          <c:symbol val="none"/>
        </c:marker>
      </c:pivotFmt>
      <c:pivotFmt>
        <c:idx val="377"/>
        <c:marker>
          <c:symbol val="none"/>
        </c:marker>
      </c:pivotFmt>
      <c:pivotFmt>
        <c:idx val="378"/>
        <c:marker>
          <c:symbol val="none"/>
        </c:marker>
      </c:pivotFmt>
      <c:pivotFmt>
        <c:idx val="379"/>
        <c:marker>
          <c:symbol val="none"/>
        </c:marker>
      </c:pivotFmt>
      <c:pivotFmt>
        <c:idx val="380"/>
        <c:marker>
          <c:symbol val="none"/>
        </c:marker>
      </c:pivotFmt>
      <c:pivotFmt>
        <c:idx val="381"/>
        <c:marker>
          <c:symbol val="none"/>
        </c:marker>
      </c:pivotFmt>
      <c:pivotFmt>
        <c:idx val="382"/>
        <c:marker>
          <c:symbol val="none"/>
        </c:marker>
      </c:pivotFmt>
      <c:pivotFmt>
        <c:idx val="383"/>
        <c:marker>
          <c:symbol val="none"/>
        </c:marker>
      </c:pivotFmt>
      <c:pivotFmt>
        <c:idx val="384"/>
        <c:marker>
          <c:symbol val="none"/>
        </c:marker>
      </c:pivotFmt>
      <c:pivotFmt>
        <c:idx val="385"/>
        <c:marker>
          <c:symbol val="none"/>
        </c:marker>
      </c:pivotFmt>
      <c:pivotFmt>
        <c:idx val="386"/>
        <c:marker>
          <c:symbol val="none"/>
        </c:marker>
      </c:pivotFmt>
      <c:pivotFmt>
        <c:idx val="387"/>
        <c:marker>
          <c:symbol val="none"/>
        </c:marker>
      </c:pivotFmt>
      <c:pivotFmt>
        <c:idx val="388"/>
        <c:marker>
          <c:symbol val="none"/>
        </c:marker>
      </c:pivotFmt>
      <c:pivotFmt>
        <c:idx val="389"/>
        <c:marker>
          <c:symbol val="none"/>
        </c:marker>
      </c:pivotFmt>
      <c:pivotFmt>
        <c:idx val="390"/>
        <c:marker>
          <c:symbol val="none"/>
        </c:marker>
      </c:pivotFmt>
      <c:pivotFmt>
        <c:idx val="391"/>
        <c:marker>
          <c:symbol val="none"/>
        </c:marker>
      </c:pivotFmt>
      <c:pivotFmt>
        <c:idx val="392"/>
        <c:marker>
          <c:symbol val="none"/>
        </c:marker>
      </c:pivotFmt>
      <c:pivotFmt>
        <c:idx val="393"/>
        <c:marker>
          <c:symbol val="none"/>
        </c:marker>
      </c:pivotFmt>
      <c:pivotFmt>
        <c:idx val="394"/>
        <c:marker>
          <c:symbol val="none"/>
        </c:marker>
      </c:pivotFmt>
      <c:pivotFmt>
        <c:idx val="395"/>
        <c:marker>
          <c:symbol val="none"/>
        </c:marker>
      </c:pivotFmt>
      <c:pivotFmt>
        <c:idx val="396"/>
        <c:marker>
          <c:symbol val="none"/>
        </c:marker>
      </c:pivotFmt>
      <c:pivotFmt>
        <c:idx val="397"/>
        <c:marker>
          <c:symbol val="none"/>
        </c:marker>
      </c:pivotFmt>
      <c:pivotFmt>
        <c:idx val="398"/>
        <c:marker>
          <c:symbol val="none"/>
        </c:marker>
      </c:pivotFmt>
      <c:pivotFmt>
        <c:idx val="399"/>
        <c:marker>
          <c:symbol val="none"/>
        </c:marker>
      </c:pivotFmt>
      <c:pivotFmt>
        <c:idx val="400"/>
        <c:marker>
          <c:symbol val="none"/>
        </c:marker>
      </c:pivotFmt>
      <c:pivotFmt>
        <c:idx val="401"/>
        <c:marker>
          <c:symbol val="none"/>
        </c:marker>
      </c:pivotFmt>
      <c:pivotFmt>
        <c:idx val="402"/>
        <c:marker>
          <c:symbol val="none"/>
        </c:marker>
      </c:pivotFmt>
      <c:pivotFmt>
        <c:idx val="403"/>
        <c:marker>
          <c:symbol val="none"/>
        </c:marker>
      </c:pivotFmt>
      <c:pivotFmt>
        <c:idx val="404"/>
        <c:marker>
          <c:symbol val="none"/>
        </c:marker>
      </c:pivotFmt>
      <c:pivotFmt>
        <c:idx val="405"/>
        <c:marker>
          <c:symbol val="none"/>
        </c:marker>
      </c:pivotFmt>
      <c:pivotFmt>
        <c:idx val="406"/>
        <c:marker>
          <c:symbol val="none"/>
        </c:marker>
      </c:pivotFmt>
      <c:pivotFmt>
        <c:idx val="407"/>
        <c:marker>
          <c:symbol val="none"/>
        </c:marker>
      </c:pivotFmt>
      <c:pivotFmt>
        <c:idx val="408"/>
        <c:marker>
          <c:symbol val="none"/>
        </c:marker>
      </c:pivotFmt>
      <c:pivotFmt>
        <c:idx val="409"/>
        <c:marker>
          <c:symbol val="none"/>
        </c:marker>
      </c:pivotFmt>
      <c:pivotFmt>
        <c:idx val="410"/>
        <c:marker>
          <c:symbol val="none"/>
        </c:marker>
      </c:pivotFmt>
      <c:pivotFmt>
        <c:idx val="411"/>
        <c:marker>
          <c:symbol val="none"/>
        </c:marker>
      </c:pivotFmt>
      <c:pivotFmt>
        <c:idx val="412"/>
        <c:marker>
          <c:symbol val="none"/>
        </c:marker>
      </c:pivotFmt>
      <c:pivotFmt>
        <c:idx val="413"/>
        <c:marker>
          <c:symbol val="none"/>
        </c:marker>
      </c:pivotFmt>
      <c:pivotFmt>
        <c:idx val="414"/>
        <c:marker>
          <c:symbol val="none"/>
        </c:marker>
      </c:pivotFmt>
      <c:pivotFmt>
        <c:idx val="415"/>
        <c:marker>
          <c:symbol val="none"/>
        </c:marker>
      </c:pivotFmt>
      <c:pivotFmt>
        <c:idx val="416"/>
        <c:marker>
          <c:symbol val="none"/>
        </c:marker>
      </c:pivotFmt>
      <c:pivotFmt>
        <c:idx val="417"/>
        <c:marker>
          <c:symbol val="none"/>
        </c:marker>
      </c:pivotFmt>
      <c:pivotFmt>
        <c:idx val="418"/>
        <c:marker>
          <c:symbol val="none"/>
        </c:marker>
      </c:pivotFmt>
      <c:pivotFmt>
        <c:idx val="419"/>
        <c:marker>
          <c:symbol val="none"/>
        </c:marker>
      </c:pivotFmt>
      <c:pivotFmt>
        <c:idx val="420"/>
        <c:marker>
          <c:symbol val="none"/>
        </c:marker>
      </c:pivotFmt>
      <c:pivotFmt>
        <c:idx val="421"/>
        <c:marker>
          <c:symbol val="none"/>
        </c:marker>
      </c:pivotFmt>
      <c:pivotFmt>
        <c:idx val="422"/>
        <c:marker>
          <c:symbol val="none"/>
        </c:marker>
      </c:pivotFmt>
      <c:pivotFmt>
        <c:idx val="423"/>
        <c:marker>
          <c:symbol val="none"/>
        </c:marker>
      </c:pivotFmt>
      <c:pivotFmt>
        <c:idx val="424"/>
        <c:marker>
          <c:symbol val="none"/>
        </c:marker>
      </c:pivotFmt>
      <c:pivotFmt>
        <c:idx val="425"/>
        <c:marker>
          <c:symbol val="none"/>
        </c:marker>
      </c:pivotFmt>
      <c:pivotFmt>
        <c:idx val="426"/>
        <c:marker>
          <c:symbol val="none"/>
        </c:marker>
      </c:pivotFmt>
      <c:pivotFmt>
        <c:idx val="427"/>
        <c:marker>
          <c:symbol val="none"/>
        </c:marker>
      </c:pivotFmt>
      <c:pivotFmt>
        <c:idx val="428"/>
        <c:marker>
          <c:symbol val="none"/>
        </c:marker>
      </c:pivotFmt>
      <c:pivotFmt>
        <c:idx val="429"/>
        <c:marker>
          <c:symbol val="none"/>
        </c:marker>
      </c:pivotFmt>
      <c:pivotFmt>
        <c:idx val="430"/>
        <c:marker>
          <c:symbol val="none"/>
        </c:marker>
      </c:pivotFmt>
      <c:pivotFmt>
        <c:idx val="431"/>
        <c:marker>
          <c:symbol val="none"/>
        </c:marker>
      </c:pivotFmt>
      <c:pivotFmt>
        <c:idx val="432"/>
        <c:marker>
          <c:symbol val="none"/>
        </c:marker>
      </c:pivotFmt>
      <c:pivotFmt>
        <c:idx val="433"/>
        <c:marker>
          <c:symbol val="none"/>
        </c:marker>
      </c:pivotFmt>
      <c:pivotFmt>
        <c:idx val="434"/>
        <c:marker>
          <c:symbol val="none"/>
        </c:marker>
      </c:pivotFmt>
      <c:pivotFmt>
        <c:idx val="435"/>
        <c:marker>
          <c:symbol val="none"/>
        </c:marker>
      </c:pivotFmt>
      <c:pivotFmt>
        <c:idx val="436"/>
        <c:marker>
          <c:symbol val="none"/>
        </c:marker>
      </c:pivotFmt>
      <c:pivotFmt>
        <c:idx val="437"/>
        <c:marker>
          <c:symbol val="none"/>
        </c:marker>
      </c:pivotFmt>
      <c:pivotFmt>
        <c:idx val="438"/>
        <c:marker>
          <c:symbol val="none"/>
        </c:marker>
      </c:pivotFmt>
      <c:pivotFmt>
        <c:idx val="439"/>
        <c:marker>
          <c:symbol val="none"/>
        </c:marker>
      </c:pivotFmt>
      <c:pivotFmt>
        <c:idx val="440"/>
        <c:marker>
          <c:symbol val="none"/>
        </c:marker>
      </c:pivotFmt>
      <c:pivotFmt>
        <c:idx val="441"/>
        <c:marker>
          <c:symbol val="none"/>
        </c:marker>
      </c:pivotFmt>
      <c:pivotFmt>
        <c:idx val="442"/>
        <c:marker>
          <c:symbol val="none"/>
        </c:marker>
      </c:pivotFmt>
      <c:pivotFmt>
        <c:idx val="443"/>
        <c:marker>
          <c:symbol val="none"/>
        </c:marker>
      </c:pivotFmt>
      <c:pivotFmt>
        <c:idx val="444"/>
        <c:marker>
          <c:symbol val="none"/>
        </c:marker>
      </c:pivotFmt>
      <c:pivotFmt>
        <c:idx val="445"/>
        <c:marker>
          <c:symbol val="none"/>
        </c:marker>
      </c:pivotFmt>
      <c:pivotFmt>
        <c:idx val="446"/>
        <c:marker>
          <c:symbol val="none"/>
        </c:marker>
      </c:pivotFmt>
      <c:pivotFmt>
        <c:idx val="447"/>
        <c:marker>
          <c:symbol val="none"/>
        </c:marker>
      </c:pivotFmt>
      <c:pivotFmt>
        <c:idx val="448"/>
        <c:marker>
          <c:symbol val="none"/>
        </c:marker>
      </c:pivotFmt>
      <c:pivotFmt>
        <c:idx val="449"/>
        <c:marker>
          <c:symbol val="none"/>
        </c:marker>
      </c:pivotFmt>
      <c:pivotFmt>
        <c:idx val="450"/>
        <c:marker>
          <c:symbol val="none"/>
        </c:marker>
      </c:pivotFmt>
      <c:pivotFmt>
        <c:idx val="451"/>
        <c:marker>
          <c:symbol val="none"/>
        </c:marker>
      </c:pivotFmt>
      <c:pivotFmt>
        <c:idx val="452"/>
        <c:marker>
          <c:symbol val="none"/>
        </c:marker>
      </c:pivotFmt>
      <c:pivotFmt>
        <c:idx val="453"/>
        <c:marker>
          <c:symbol val="none"/>
        </c:marker>
      </c:pivotFmt>
      <c:pivotFmt>
        <c:idx val="454"/>
        <c:marker>
          <c:symbol val="none"/>
        </c:marker>
      </c:pivotFmt>
      <c:pivotFmt>
        <c:idx val="455"/>
        <c:marker>
          <c:symbol val="none"/>
        </c:marker>
      </c:pivotFmt>
      <c:pivotFmt>
        <c:idx val="456"/>
        <c:marker>
          <c:symbol val="none"/>
        </c:marker>
      </c:pivotFmt>
      <c:pivotFmt>
        <c:idx val="457"/>
        <c:marker>
          <c:symbol val="none"/>
        </c:marker>
      </c:pivotFmt>
      <c:pivotFmt>
        <c:idx val="458"/>
        <c:marker>
          <c:symbol val="none"/>
        </c:marker>
      </c:pivotFmt>
      <c:pivotFmt>
        <c:idx val="459"/>
        <c:marker>
          <c:symbol val="none"/>
        </c:marker>
      </c:pivotFmt>
      <c:pivotFmt>
        <c:idx val="460"/>
        <c:marker>
          <c:symbol val="none"/>
        </c:marker>
      </c:pivotFmt>
      <c:pivotFmt>
        <c:idx val="461"/>
        <c:marker>
          <c:symbol val="none"/>
        </c:marker>
      </c:pivotFmt>
      <c:pivotFmt>
        <c:idx val="462"/>
        <c:marker>
          <c:symbol val="none"/>
        </c:marker>
      </c:pivotFmt>
      <c:pivotFmt>
        <c:idx val="463"/>
        <c:marker>
          <c:symbol val="none"/>
        </c:marker>
      </c:pivotFmt>
      <c:pivotFmt>
        <c:idx val="464"/>
        <c:marker>
          <c:symbol val="none"/>
        </c:marker>
      </c:pivotFmt>
      <c:pivotFmt>
        <c:idx val="465"/>
        <c:marker>
          <c:symbol val="none"/>
        </c:marker>
      </c:pivotFmt>
      <c:pivotFmt>
        <c:idx val="466"/>
        <c:marker>
          <c:symbol val="none"/>
        </c:marker>
      </c:pivotFmt>
      <c:pivotFmt>
        <c:idx val="467"/>
        <c:marker>
          <c:symbol val="none"/>
        </c:marker>
      </c:pivotFmt>
      <c:pivotFmt>
        <c:idx val="468"/>
        <c:marker>
          <c:symbol val="none"/>
        </c:marker>
      </c:pivotFmt>
      <c:pivotFmt>
        <c:idx val="469"/>
        <c:marker>
          <c:symbol val="none"/>
        </c:marker>
      </c:pivotFmt>
      <c:pivotFmt>
        <c:idx val="470"/>
        <c:marker>
          <c:symbol val="none"/>
        </c:marker>
      </c:pivotFmt>
      <c:pivotFmt>
        <c:idx val="471"/>
        <c:marker>
          <c:symbol val="none"/>
        </c:marker>
      </c:pivotFmt>
      <c:pivotFmt>
        <c:idx val="472"/>
        <c:marker>
          <c:symbol val="none"/>
        </c:marker>
      </c:pivotFmt>
      <c:pivotFmt>
        <c:idx val="473"/>
        <c:marker>
          <c:symbol val="none"/>
        </c:marker>
      </c:pivotFmt>
      <c:pivotFmt>
        <c:idx val="474"/>
        <c:marker>
          <c:symbol val="none"/>
        </c:marker>
      </c:pivotFmt>
      <c:pivotFmt>
        <c:idx val="475"/>
        <c:marker>
          <c:symbol val="none"/>
        </c:marker>
      </c:pivotFmt>
      <c:pivotFmt>
        <c:idx val="476"/>
        <c:marker>
          <c:symbol val="none"/>
        </c:marker>
      </c:pivotFmt>
      <c:pivotFmt>
        <c:idx val="477"/>
        <c:marker>
          <c:symbol val="none"/>
        </c:marker>
      </c:pivotFmt>
      <c:pivotFmt>
        <c:idx val="478"/>
        <c:marker>
          <c:symbol val="none"/>
        </c:marker>
      </c:pivotFmt>
      <c:pivotFmt>
        <c:idx val="479"/>
        <c:marker>
          <c:symbol val="none"/>
        </c:marker>
      </c:pivotFmt>
      <c:pivotFmt>
        <c:idx val="480"/>
        <c:marker>
          <c:symbol val="none"/>
        </c:marker>
      </c:pivotFmt>
      <c:pivotFmt>
        <c:idx val="481"/>
        <c:marker>
          <c:symbol val="none"/>
        </c:marker>
      </c:pivotFmt>
      <c:pivotFmt>
        <c:idx val="482"/>
        <c:marker>
          <c:symbol val="none"/>
        </c:marker>
      </c:pivotFmt>
      <c:pivotFmt>
        <c:idx val="483"/>
        <c:marker>
          <c:symbol val="none"/>
        </c:marker>
      </c:pivotFmt>
      <c:pivotFmt>
        <c:idx val="484"/>
        <c:marker>
          <c:symbol val="none"/>
        </c:marker>
      </c:pivotFmt>
      <c:pivotFmt>
        <c:idx val="485"/>
        <c:marker>
          <c:symbol val="none"/>
        </c:marker>
      </c:pivotFmt>
      <c:pivotFmt>
        <c:idx val="486"/>
        <c:marker>
          <c:symbol val="none"/>
        </c:marker>
      </c:pivotFmt>
      <c:pivotFmt>
        <c:idx val="487"/>
        <c:marker>
          <c:symbol val="none"/>
        </c:marker>
      </c:pivotFmt>
      <c:pivotFmt>
        <c:idx val="488"/>
        <c:marker>
          <c:symbol val="none"/>
        </c:marker>
      </c:pivotFmt>
      <c:pivotFmt>
        <c:idx val="489"/>
        <c:marker>
          <c:symbol val="none"/>
        </c:marker>
      </c:pivotFmt>
      <c:pivotFmt>
        <c:idx val="490"/>
        <c:marker>
          <c:symbol val="none"/>
        </c:marker>
      </c:pivotFmt>
      <c:pivotFmt>
        <c:idx val="491"/>
        <c:marker>
          <c:symbol val="none"/>
        </c:marker>
      </c:pivotFmt>
      <c:pivotFmt>
        <c:idx val="492"/>
        <c:marker>
          <c:symbol val="none"/>
        </c:marker>
      </c:pivotFmt>
      <c:pivotFmt>
        <c:idx val="493"/>
        <c:marker>
          <c:symbol val="none"/>
        </c:marker>
      </c:pivotFmt>
      <c:pivotFmt>
        <c:idx val="494"/>
        <c:marker>
          <c:symbol val="none"/>
        </c:marker>
      </c:pivotFmt>
      <c:pivotFmt>
        <c:idx val="495"/>
        <c:marker>
          <c:symbol val="none"/>
        </c:marker>
      </c:pivotFmt>
      <c:pivotFmt>
        <c:idx val="496"/>
        <c:marker>
          <c:symbol val="none"/>
        </c:marker>
      </c:pivotFmt>
      <c:pivotFmt>
        <c:idx val="497"/>
        <c:marker>
          <c:symbol val="none"/>
        </c:marker>
      </c:pivotFmt>
      <c:pivotFmt>
        <c:idx val="498"/>
        <c:marker>
          <c:symbol val="none"/>
        </c:marker>
      </c:pivotFmt>
      <c:pivotFmt>
        <c:idx val="499"/>
        <c:marker>
          <c:symbol val="none"/>
        </c:marker>
      </c:pivotFmt>
      <c:pivotFmt>
        <c:idx val="500"/>
        <c:marker>
          <c:symbol val="none"/>
        </c:marker>
      </c:pivotFmt>
      <c:pivotFmt>
        <c:idx val="501"/>
        <c:marker>
          <c:symbol val="none"/>
        </c:marker>
      </c:pivotFmt>
      <c:pivotFmt>
        <c:idx val="502"/>
        <c:marker>
          <c:symbol val="none"/>
        </c:marker>
      </c:pivotFmt>
      <c:pivotFmt>
        <c:idx val="503"/>
        <c:marker>
          <c:symbol val="none"/>
        </c:marker>
      </c:pivotFmt>
      <c:pivotFmt>
        <c:idx val="504"/>
        <c:marker>
          <c:symbol val="none"/>
        </c:marker>
      </c:pivotFmt>
      <c:pivotFmt>
        <c:idx val="505"/>
        <c:marker>
          <c:symbol val="none"/>
        </c:marker>
      </c:pivotFmt>
      <c:pivotFmt>
        <c:idx val="506"/>
        <c:marker>
          <c:symbol val="none"/>
        </c:marker>
      </c:pivotFmt>
      <c:pivotFmt>
        <c:idx val="507"/>
        <c:marker>
          <c:symbol val="none"/>
        </c:marker>
      </c:pivotFmt>
      <c:pivotFmt>
        <c:idx val="508"/>
        <c:marker>
          <c:symbol val="none"/>
        </c:marker>
      </c:pivotFmt>
      <c:pivotFmt>
        <c:idx val="509"/>
        <c:marker>
          <c:symbol val="none"/>
        </c:marker>
      </c:pivotFmt>
      <c:pivotFmt>
        <c:idx val="510"/>
        <c:marker>
          <c:symbol val="none"/>
        </c:marker>
      </c:pivotFmt>
      <c:pivotFmt>
        <c:idx val="511"/>
        <c:marker>
          <c:symbol val="none"/>
        </c:marker>
      </c:pivotFmt>
      <c:pivotFmt>
        <c:idx val="512"/>
        <c:marker>
          <c:symbol val="none"/>
        </c:marker>
      </c:pivotFmt>
      <c:pivotFmt>
        <c:idx val="513"/>
        <c:marker>
          <c:symbol val="none"/>
        </c:marker>
      </c:pivotFmt>
      <c:pivotFmt>
        <c:idx val="514"/>
        <c:marker>
          <c:symbol val="none"/>
        </c:marker>
      </c:pivotFmt>
      <c:pivotFmt>
        <c:idx val="515"/>
        <c:marker>
          <c:symbol val="none"/>
        </c:marker>
      </c:pivotFmt>
      <c:pivotFmt>
        <c:idx val="516"/>
        <c:marker>
          <c:symbol val="none"/>
        </c:marker>
      </c:pivotFmt>
      <c:pivotFmt>
        <c:idx val="517"/>
        <c:marker>
          <c:symbol val="none"/>
        </c:marker>
      </c:pivotFmt>
      <c:pivotFmt>
        <c:idx val="518"/>
        <c:marker>
          <c:symbol val="none"/>
        </c:marker>
      </c:pivotFmt>
      <c:pivotFmt>
        <c:idx val="519"/>
        <c:marker>
          <c:symbol val="none"/>
        </c:marker>
      </c:pivotFmt>
      <c:pivotFmt>
        <c:idx val="520"/>
        <c:marker>
          <c:symbol val="none"/>
        </c:marker>
      </c:pivotFmt>
      <c:pivotFmt>
        <c:idx val="521"/>
        <c:marker>
          <c:symbol val="none"/>
        </c:marker>
      </c:pivotFmt>
      <c:pivotFmt>
        <c:idx val="522"/>
        <c:marker>
          <c:symbol val="none"/>
        </c:marker>
      </c:pivotFmt>
      <c:pivotFmt>
        <c:idx val="523"/>
        <c:marker>
          <c:symbol val="none"/>
        </c:marker>
      </c:pivotFmt>
      <c:pivotFmt>
        <c:idx val="524"/>
        <c:marker>
          <c:symbol val="none"/>
        </c:marker>
      </c:pivotFmt>
      <c:pivotFmt>
        <c:idx val="525"/>
        <c:marker>
          <c:symbol val="none"/>
        </c:marker>
      </c:pivotFmt>
      <c:pivotFmt>
        <c:idx val="526"/>
        <c:marker>
          <c:symbol val="none"/>
        </c:marker>
      </c:pivotFmt>
      <c:pivotFmt>
        <c:idx val="527"/>
        <c:marker>
          <c:symbol val="none"/>
        </c:marker>
      </c:pivotFmt>
      <c:pivotFmt>
        <c:idx val="528"/>
        <c:marker>
          <c:symbol val="none"/>
        </c:marker>
      </c:pivotFmt>
      <c:pivotFmt>
        <c:idx val="529"/>
        <c:marker>
          <c:symbol val="none"/>
        </c:marker>
      </c:pivotFmt>
      <c:pivotFmt>
        <c:idx val="530"/>
        <c:marker>
          <c:symbol val="none"/>
        </c:marker>
      </c:pivotFmt>
      <c:pivotFmt>
        <c:idx val="531"/>
        <c:marker>
          <c:symbol val="none"/>
        </c:marker>
      </c:pivotFmt>
      <c:pivotFmt>
        <c:idx val="532"/>
        <c:marker>
          <c:symbol val="none"/>
        </c:marker>
      </c:pivotFmt>
      <c:pivotFmt>
        <c:idx val="533"/>
        <c:marker>
          <c:symbol val="none"/>
        </c:marker>
      </c:pivotFmt>
      <c:pivotFmt>
        <c:idx val="534"/>
        <c:marker>
          <c:symbol val="none"/>
        </c:marker>
      </c:pivotFmt>
      <c:pivotFmt>
        <c:idx val="535"/>
        <c:marker>
          <c:symbol val="none"/>
        </c:marker>
      </c:pivotFmt>
      <c:pivotFmt>
        <c:idx val="536"/>
        <c:marker>
          <c:symbol val="none"/>
        </c:marker>
      </c:pivotFmt>
      <c:pivotFmt>
        <c:idx val="537"/>
        <c:marker>
          <c:symbol val="none"/>
        </c:marker>
      </c:pivotFmt>
      <c:pivotFmt>
        <c:idx val="538"/>
        <c:marker>
          <c:symbol val="none"/>
        </c:marker>
      </c:pivotFmt>
      <c:pivotFmt>
        <c:idx val="539"/>
        <c:marker>
          <c:symbol val="none"/>
        </c:marker>
      </c:pivotFmt>
      <c:pivotFmt>
        <c:idx val="540"/>
        <c:marker>
          <c:symbol val="none"/>
        </c:marker>
      </c:pivotFmt>
      <c:pivotFmt>
        <c:idx val="541"/>
        <c:marker>
          <c:symbol val="none"/>
        </c:marker>
      </c:pivotFmt>
      <c:pivotFmt>
        <c:idx val="542"/>
        <c:marker>
          <c:symbol val="none"/>
        </c:marker>
      </c:pivotFmt>
      <c:pivotFmt>
        <c:idx val="543"/>
        <c:marker>
          <c:symbol val="none"/>
        </c:marker>
      </c:pivotFmt>
      <c:pivotFmt>
        <c:idx val="544"/>
        <c:marker>
          <c:symbol val="none"/>
        </c:marker>
      </c:pivotFmt>
      <c:pivotFmt>
        <c:idx val="545"/>
        <c:marker>
          <c:symbol val="none"/>
        </c:marker>
      </c:pivotFmt>
      <c:pivotFmt>
        <c:idx val="546"/>
        <c:marker>
          <c:symbol val="none"/>
        </c:marker>
      </c:pivotFmt>
      <c:pivotFmt>
        <c:idx val="547"/>
        <c:marker>
          <c:symbol val="none"/>
        </c:marker>
      </c:pivotFmt>
      <c:pivotFmt>
        <c:idx val="548"/>
        <c:marker>
          <c:symbol val="none"/>
        </c:marker>
      </c:pivotFmt>
      <c:pivotFmt>
        <c:idx val="549"/>
        <c:marker>
          <c:symbol val="none"/>
        </c:marker>
      </c:pivotFmt>
      <c:pivotFmt>
        <c:idx val="550"/>
        <c:marker>
          <c:symbol val="none"/>
        </c:marker>
      </c:pivotFmt>
      <c:pivotFmt>
        <c:idx val="551"/>
        <c:marker>
          <c:symbol val="none"/>
        </c:marker>
      </c:pivotFmt>
      <c:pivotFmt>
        <c:idx val="552"/>
        <c:marker>
          <c:symbol val="none"/>
        </c:marker>
      </c:pivotFmt>
      <c:pivotFmt>
        <c:idx val="553"/>
        <c:marker>
          <c:symbol val="none"/>
        </c:marker>
      </c:pivotFmt>
      <c:pivotFmt>
        <c:idx val="554"/>
        <c:marker>
          <c:symbol val="none"/>
        </c:marker>
      </c:pivotFmt>
      <c:pivotFmt>
        <c:idx val="555"/>
        <c:marker>
          <c:symbol val="none"/>
        </c:marker>
      </c:pivotFmt>
      <c:pivotFmt>
        <c:idx val="556"/>
        <c:marker>
          <c:symbol val="none"/>
        </c:marker>
      </c:pivotFmt>
      <c:pivotFmt>
        <c:idx val="557"/>
        <c:marker>
          <c:symbol val="none"/>
        </c:marker>
      </c:pivotFmt>
      <c:pivotFmt>
        <c:idx val="558"/>
        <c:marker>
          <c:symbol val="none"/>
        </c:marker>
      </c:pivotFmt>
      <c:pivotFmt>
        <c:idx val="559"/>
        <c:marker>
          <c:symbol val="none"/>
        </c:marker>
      </c:pivotFmt>
      <c:pivotFmt>
        <c:idx val="560"/>
        <c:marker>
          <c:symbol val="none"/>
        </c:marker>
      </c:pivotFmt>
      <c:pivotFmt>
        <c:idx val="561"/>
        <c:marker>
          <c:symbol val="none"/>
        </c:marker>
      </c:pivotFmt>
      <c:pivotFmt>
        <c:idx val="562"/>
        <c:marker>
          <c:symbol val="none"/>
        </c:marker>
      </c:pivotFmt>
      <c:pivotFmt>
        <c:idx val="563"/>
        <c:marker>
          <c:symbol val="none"/>
        </c:marker>
      </c:pivotFmt>
      <c:pivotFmt>
        <c:idx val="564"/>
        <c:marker>
          <c:symbol val="none"/>
        </c:marker>
      </c:pivotFmt>
      <c:pivotFmt>
        <c:idx val="565"/>
        <c:marker>
          <c:symbol val="none"/>
        </c:marker>
      </c:pivotFmt>
      <c:pivotFmt>
        <c:idx val="566"/>
        <c:marker>
          <c:symbol val="none"/>
        </c:marker>
      </c:pivotFmt>
      <c:pivotFmt>
        <c:idx val="567"/>
        <c:marker>
          <c:symbol val="none"/>
        </c:marker>
      </c:pivotFmt>
      <c:pivotFmt>
        <c:idx val="568"/>
        <c:marker>
          <c:symbol val="none"/>
        </c:marker>
      </c:pivotFmt>
      <c:pivotFmt>
        <c:idx val="569"/>
        <c:marker>
          <c:symbol val="none"/>
        </c:marker>
      </c:pivotFmt>
      <c:pivotFmt>
        <c:idx val="570"/>
        <c:marker>
          <c:symbol val="none"/>
        </c:marker>
      </c:pivotFmt>
      <c:pivotFmt>
        <c:idx val="571"/>
        <c:marker>
          <c:symbol val="none"/>
        </c:marker>
      </c:pivotFmt>
      <c:pivotFmt>
        <c:idx val="572"/>
        <c:marker>
          <c:symbol val="none"/>
        </c:marker>
      </c:pivotFmt>
      <c:pivotFmt>
        <c:idx val="573"/>
        <c:marker>
          <c:symbol val="none"/>
        </c:marker>
      </c:pivotFmt>
      <c:pivotFmt>
        <c:idx val="574"/>
        <c:marker>
          <c:symbol val="none"/>
        </c:marker>
      </c:pivotFmt>
      <c:pivotFmt>
        <c:idx val="575"/>
        <c:marker>
          <c:symbol val="none"/>
        </c:marker>
      </c:pivotFmt>
      <c:pivotFmt>
        <c:idx val="576"/>
        <c:marker>
          <c:symbol val="none"/>
        </c:marker>
      </c:pivotFmt>
      <c:pivotFmt>
        <c:idx val="577"/>
        <c:marker>
          <c:symbol val="none"/>
        </c:marker>
      </c:pivotFmt>
      <c:pivotFmt>
        <c:idx val="578"/>
        <c:marker>
          <c:symbol val="none"/>
        </c:marker>
      </c:pivotFmt>
      <c:pivotFmt>
        <c:idx val="579"/>
        <c:marker>
          <c:symbol val="none"/>
        </c:marker>
      </c:pivotFmt>
      <c:pivotFmt>
        <c:idx val="580"/>
        <c:marker>
          <c:symbol val="none"/>
        </c:marker>
      </c:pivotFmt>
      <c:pivotFmt>
        <c:idx val="581"/>
        <c:marker>
          <c:symbol val="none"/>
        </c:marker>
      </c:pivotFmt>
      <c:pivotFmt>
        <c:idx val="582"/>
        <c:marker>
          <c:symbol val="none"/>
        </c:marker>
      </c:pivotFmt>
      <c:pivotFmt>
        <c:idx val="583"/>
        <c:marker>
          <c:symbol val="none"/>
        </c:marker>
      </c:pivotFmt>
      <c:pivotFmt>
        <c:idx val="584"/>
        <c:marker>
          <c:symbol val="none"/>
        </c:marker>
      </c:pivotFmt>
      <c:pivotFmt>
        <c:idx val="585"/>
        <c:marker>
          <c:symbol val="none"/>
        </c:marker>
      </c:pivotFmt>
      <c:pivotFmt>
        <c:idx val="586"/>
        <c:marker>
          <c:symbol val="none"/>
        </c:marker>
      </c:pivotFmt>
      <c:pivotFmt>
        <c:idx val="587"/>
        <c:marker>
          <c:symbol val="none"/>
        </c:marker>
      </c:pivotFmt>
      <c:pivotFmt>
        <c:idx val="588"/>
        <c:marker>
          <c:symbol val="none"/>
        </c:marker>
      </c:pivotFmt>
      <c:pivotFmt>
        <c:idx val="589"/>
        <c:marker>
          <c:symbol val="none"/>
        </c:marker>
      </c:pivotFmt>
      <c:pivotFmt>
        <c:idx val="590"/>
        <c:marker>
          <c:symbol val="none"/>
        </c:marker>
      </c:pivotFmt>
      <c:pivotFmt>
        <c:idx val="591"/>
        <c:marker>
          <c:symbol val="none"/>
        </c:marker>
      </c:pivotFmt>
      <c:pivotFmt>
        <c:idx val="592"/>
        <c:marker>
          <c:symbol val="none"/>
        </c:marker>
      </c:pivotFmt>
      <c:pivotFmt>
        <c:idx val="593"/>
        <c:marker>
          <c:symbol val="none"/>
        </c:marker>
      </c:pivotFmt>
      <c:pivotFmt>
        <c:idx val="594"/>
        <c:marker>
          <c:symbol val="none"/>
        </c:marker>
      </c:pivotFmt>
      <c:pivotFmt>
        <c:idx val="595"/>
        <c:marker>
          <c:symbol val="none"/>
        </c:marker>
      </c:pivotFmt>
      <c:pivotFmt>
        <c:idx val="596"/>
        <c:marker>
          <c:symbol val="none"/>
        </c:marker>
      </c:pivotFmt>
      <c:pivotFmt>
        <c:idx val="597"/>
        <c:marker>
          <c:symbol val="none"/>
        </c:marker>
      </c:pivotFmt>
      <c:pivotFmt>
        <c:idx val="598"/>
        <c:marker>
          <c:symbol val="none"/>
        </c:marker>
      </c:pivotFmt>
      <c:pivotFmt>
        <c:idx val="599"/>
        <c:marker>
          <c:symbol val="none"/>
        </c:marker>
      </c:pivotFmt>
      <c:pivotFmt>
        <c:idx val="600"/>
        <c:marker>
          <c:symbol val="none"/>
        </c:marker>
      </c:pivotFmt>
      <c:pivotFmt>
        <c:idx val="601"/>
        <c:marker>
          <c:symbol val="none"/>
        </c:marker>
      </c:pivotFmt>
      <c:pivotFmt>
        <c:idx val="602"/>
        <c:marker>
          <c:symbol val="none"/>
        </c:marker>
      </c:pivotFmt>
      <c:pivotFmt>
        <c:idx val="603"/>
        <c:marker>
          <c:symbol val="none"/>
        </c:marker>
      </c:pivotFmt>
      <c:pivotFmt>
        <c:idx val="604"/>
        <c:marker>
          <c:symbol val="none"/>
        </c:marker>
      </c:pivotFmt>
      <c:pivotFmt>
        <c:idx val="605"/>
        <c:marker>
          <c:symbol val="none"/>
        </c:marker>
      </c:pivotFmt>
      <c:pivotFmt>
        <c:idx val="606"/>
        <c:marker>
          <c:symbol val="none"/>
        </c:marker>
      </c:pivotFmt>
      <c:pivotFmt>
        <c:idx val="607"/>
        <c:marker>
          <c:symbol val="none"/>
        </c:marker>
      </c:pivotFmt>
      <c:pivotFmt>
        <c:idx val="608"/>
        <c:marker>
          <c:symbol val="none"/>
        </c:marker>
      </c:pivotFmt>
      <c:pivotFmt>
        <c:idx val="609"/>
        <c:marker>
          <c:symbol val="none"/>
        </c:marker>
      </c:pivotFmt>
      <c:pivotFmt>
        <c:idx val="610"/>
        <c:marker>
          <c:symbol val="none"/>
        </c:marker>
      </c:pivotFmt>
      <c:pivotFmt>
        <c:idx val="611"/>
        <c:marker>
          <c:symbol val="none"/>
        </c:marker>
      </c:pivotFmt>
      <c:pivotFmt>
        <c:idx val="612"/>
        <c:marker>
          <c:symbol val="none"/>
        </c:marker>
      </c:pivotFmt>
      <c:pivotFmt>
        <c:idx val="613"/>
        <c:marker>
          <c:symbol val="none"/>
        </c:marker>
      </c:pivotFmt>
      <c:pivotFmt>
        <c:idx val="614"/>
        <c:marker>
          <c:symbol val="none"/>
        </c:marker>
      </c:pivotFmt>
      <c:pivotFmt>
        <c:idx val="615"/>
        <c:marker>
          <c:symbol val="none"/>
        </c:marker>
      </c:pivotFmt>
      <c:pivotFmt>
        <c:idx val="616"/>
        <c:marker>
          <c:symbol val="none"/>
        </c:marker>
      </c:pivotFmt>
      <c:pivotFmt>
        <c:idx val="617"/>
        <c:marker>
          <c:symbol val="none"/>
        </c:marker>
      </c:pivotFmt>
      <c:pivotFmt>
        <c:idx val="618"/>
        <c:marker>
          <c:symbol val="none"/>
        </c:marker>
      </c:pivotFmt>
      <c:pivotFmt>
        <c:idx val="619"/>
        <c:marker>
          <c:symbol val="none"/>
        </c:marker>
      </c:pivotFmt>
      <c:pivotFmt>
        <c:idx val="620"/>
        <c:marker>
          <c:symbol val="none"/>
        </c:marker>
      </c:pivotFmt>
      <c:pivotFmt>
        <c:idx val="621"/>
        <c:marker>
          <c:symbol val="none"/>
        </c:marker>
      </c:pivotFmt>
      <c:pivotFmt>
        <c:idx val="622"/>
        <c:marker>
          <c:symbol val="none"/>
        </c:marker>
      </c:pivotFmt>
      <c:pivotFmt>
        <c:idx val="623"/>
        <c:marker>
          <c:symbol val="none"/>
        </c:marker>
      </c:pivotFmt>
      <c:pivotFmt>
        <c:idx val="624"/>
        <c:marker>
          <c:symbol val="none"/>
        </c:marker>
      </c:pivotFmt>
      <c:pivotFmt>
        <c:idx val="625"/>
        <c:marker>
          <c:symbol val="none"/>
        </c:marker>
      </c:pivotFmt>
      <c:pivotFmt>
        <c:idx val="626"/>
        <c:marker>
          <c:symbol val="none"/>
        </c:marker>
      </c:pivotFmt>
      <c:pivotFmt>
        <c:idx val="627"/>
        <c:marker>
          <c:symbol val="none"/>
        </c:marker>
      </c:pivotFmt>
      <c:pivotFmt>
        <c:idx val="628"/>
        <c:marker>
          <c:symbol val="none"/>
        </c:marker>
      </c:pivotFmt>
      <c:pivotFmt>
        <c:idx val="629"/>
        <c:marker>
          <c:symbol val="none"/>
        </c:marker>
      </c:pivotFmt>
      <c:pivotFmt>
        <c:idx val="630"/>
        <c:marker>
          <c:symbol val="none"/>
        </c:marker>
      </c:pivotFmt>
      <c:pivotFmt>
        <c:idx val="631"/>
        <c:marker>
          <c:symbol val="none"/>
        </c:marker>
      </c:pivotFmt>
      <c:pivotFmt>
        <c:idx val="632"/>
        <c:marker>
          <c:symbol val="none"/>
        </c:marker>
      </c:pivotFmt>
      <c:pivotFmt>
        <c:idx val="633"/>
        <c:marker>
          <c:symbol val="none"/>
        </c:marker>
      </c:pivotFmt>
      <c:pivotFmt>
        <c:idx val="634"/>
        <c:marker>
          <c:symbol val="none"/>
        </c:marker>
      </c:pivotFmt>
      <c:pivotFmt>
        <c:idx val="635"/>
        <c:marker>
          <c:symbol val="none"/>
        </c:marker>
      </c:pivotFmt>
      <c:pivotFmt>
        <c:idx val="636"/>
        <c:marker>
          <c:symbol val="none"/>
        </c:marker>
      </c:pivotFmt>
      <c:pivotFmt>
        <c:idx val="637"/>
        <c:marker>
          <c:symbol val="none"/>
        </c:marker>
      </c:pivotFmt>
      <c:pivotFmt>
        <c:idx val="638"/>
        <c:marker>
          <c:symbol val="none"/>
        </c:marker>
      </c:pivotFmt>
      <c:pivotFmt>
        <c:idx val="639"/>
        <c:marker>
          <c:symbol val="none"/>
        </c:marker>
      </c:pivotFmt>
      <c:pivotFmt>
        <c:idx val="640"/>
        <c:marker>
          <c:symbol val="none"/>
        </c:marker>
      </c:pivotFmt>
      <c:pivotFmt>
        <c:idx val="641"/>
        <c:marker>
          <c:symbol val="none"/>
        </c:marker>
      </c:pivotFmt>
      <c:pivotFmt>
        <c:idx val="642"/>
        <c:marker>
          <c:symbol val="none"/>
        </c:marker>
      </c:pivotFmt>
      <c:pivotFmt>
        <c:idx val="643"/>
        <c:marker>
          <c:symbol val="none"/>
        </c:marker>
      </c:pivotFmt>
      <c:pivotFmt>
        <c:idx val="644"/>
        <c:marker>
          <c:symbol val="none"/>
        </c:marker>
      </c:pivotFmt>
      <c:pivotFmt>
        <c:idx val="645"/>
        <c:marker>
          <c:symbol val="none"/>
        </c:marker>
      </c:pivotFmt>
      <c:pivotFmt>
        <c:idx val="646"/>
        <c:marker>
          <c:symbol val="none"/>
        </c:marker>
      </c:pivotFmt>
      <c:pivotFmt>
        <c:idx val="647"/>
        <c:marker>
          <c:symbol val="none"/>
        </c:marker>
      </c:pivotFmt>
      <c:pivotFmt>
        <c:idx val="648"/>
        <c:marker>
          <c:symbol val="none"/>
        </c:marker>
      </c:pivotFmt>
      <c:pivotFmt>
        <c:idx val="649"/>
        <c:marker>
          <c:symbol val="none"/>
        </c:marker>
      </c:pivotFmt>
      <c:pivotFmt>
        <c:idx val="650"/>
        <c:marker>
          <c:symbol val="none"/>
        </c:marker>
      </c:pivotFmt>
      <c:pivotFmt>
        <c:idx val="651"/>
        <c:marker>
          <c:symbol val="none"/>
        </c:marker>
      </c:pivotFmt>
      <c:pivotFmt>
        <c:idx val="652"/>
        <c:marker>
          <c:symbol val="none"/>
        </c:marker>
      </c:pivotFmt>
      <c:pivotFmt>
        <c:idx val="653"/>
        <c:marker>
          <c:symbol val="none"/>
        </c:marker>
      </c:pivotFmt>
      <c:pivotFmt>
        <c:idx val="654"/>
        <c:marker>
          <c:symbol val="none"/>
        </c:marker>
      </c:pivotFmt>
      <c:pivotFmt>
        <c:idx val="655"/>
        <c:marker>
          <c:symbol val="none"/>
        </c:marker>
      </c:pivotFmt>
      <c:pivotFmt>
        <c:idx val="656"/>
        <c:marker>
          <c:symbol val="none"/>
        </c:marker>
      </c:pivotFmt>
      <c:pivotFmt>
        <c:idx val="657"/>
        <c:marker>
          <c:symbol val="none"/>
        </c:marker>
      </c:pivotFmt>
      <c:pivotFmt>
        <c:idx val="658"/>
        <c:marker>
          <c:symbol val="none"/>
        </c:marker>
      </c:pivotFmt>
      <c:pivotFmt>
        <c:idx val="659"/>
        <c:marker>
          <c:symbol val="none"/>
        </c:marker>
      </c:pivotFmt>
      <c:pivotFmt>
        <c:idx val="660"/>
        <c:marker>
          <c:symbol val="none"/>
        </c:marker>
      </c:pivotFmt>
      <c:pivotFmt>
        <c:idx val="661"/>
        <c:marker>
          <c:symbol val="none"/>
        </c:marker>
      </c:pivotFmt>
      <c:pivotFmt>
        <c:idx val="662"/>
        <c:marker>
          <c:symbol val="none"/>
        </c:marker>
      </c:pivotFmt>
      <c:pivotFmt>
        <c:idx val="663"/>
        <c:marker>
          <c:symbol val="none"/>
        </c:marker>
      </c:pivotFmt>
      <c:pivotFmt>
        <c:idx val="664"/>
        <c:marker>
          <c:symbol val="none"/>
        </c:marker>
      </c:pivotFmt>
      <c:pivotFmt>
        <c:idx val="665"/>
        <c:marker>
          <c:symbol val="none"/>
        </c:marker>
      </c:pivotFmt>
      <c:pivotFmt>
        <c:idx val="666"/>
        <c:marker>
          <c:symbol val="none"/>
        </c:marker>
      </c:pivotFmt>
      <c:pivotFmt>
        <c:idx val="667"/>
        <c:marker>
          <c:symbol val="none"/>
        </c:marker>
      </c:pivotFmt>
      <c:pivotFmt>
        <c:idx val="668"/>
        <c:marker>
          <c:symbol val="none"/>
        </c:marker>
      </c:pivotFmt>
      <c:pivotFmt>
        <c:idx val="669"/>
        <c:marker>
          <c:symbol val="none"/>
        </c:marker>
      </c:pivotFmt>
      <c:pivotFmt>
        <c:idx val="670"/>
        <c:marker>
          <c:symbol val="none"/>
        </c:marker>
      </c:pivotFmt>
      <c:pivotFmt>
        <c:idx val="671"/>
        <c:marker>
          <c:symbol val="none"/>
        </c:marker>
      </c:pivotFmt>
      <c:pivotFmt>
        <c:idx val="672"/>
        <c:marker>
          <c:symbol val="none"/>
        </c:marker>
      </c:pivotFmt>
      <c:pivotFmt>
        <c:idx val="673"/>
        <c:marker>
          <c:symbol val="none"/>
        </c:marker>
      </c:pivotFmt>
      <c:pivotFmt>
        <c:idx val="674"/>
        <c:marker>
          <c:symbol val="none"/>
        </c:marker>
      </c:pivotFmt>
      <c:pivotFmt>
        <c:idx val="675"/>
        <c:marker>
          <c:symbol val="none"/>
        </c:marker>
      </c:pivotFmt>
      <c:pivotFmt>
        <c:idx val="676"/>
        <c:marker>
          <c:symbol val="none"/>
        </c:marker>
      </c:pivotFmt>
      <c:pivotFmt>
        <c:idx val="677"/>
        <c:marker>
          <c:symbol val="none"/>
        </c:marker>
      </c:pivotFmt>
      <c:pivotFmt>
        <c:idx val="678"/>
        <c:marker>
          <c:symbol val="none"/>
        </c:marker>
      </c:pivotFmt>
      <c:pivotFmt>
        <c:idx val="679"/>
        <c:marker>
          <c:symbol val="none"/>
        </c:marker>
      </c:pivotFmt>
      <c:pivotFmt>
        <c:idx val="680"/>
        <c:marker>
          <c:symbol val="none"/>
        </c:marker>
      </c:pivotFmt>
      <c:pivotFmt>
        <c:idx val="681"/>
        <c:marker>
          <c:symbol val="none"/>
        </c:marker>
      </c:pivotFmt>
      <c:pivotFmt>
        <c:idx val="682"/>
        <c:marker>
          <c:symbol val="none"/>
        </c:marker>
      </c:pivotFmt>
      <c:pivotFmt>
        <c:idx val="683"/>
        <c:marker>
          <c:symbol val="none"/>
        </c:marker>
      </c:pivotFmt>
      <c:pivotFmt>
        <c:idx val="684"/>
        <c:marker>
          <c:symbol val="none"/>
        </c:marker>
      </c:pivotFmt>
      <c:pivotFmt>
        <c:idx val="685"/>
        <c:marker>
          <c:symbol val="none"/>
        </c:marker>
      </c:pivotFmt>
      <c:pivotFmt>
        <c:idx val="686"/>
        <c:marker>
          <c:symbol val="none"/>
        </c:marker>
      </c:pivotFmt>
      <c:pivotFmt>
        <c:idx val="687"/>
        <c:marker>
          <c:symbol val="none"/>
        </c:marker>
      </c:pivotFmt>
      <c:pivotFmt>
        <c:idx val="688"/>
        <c:marker>
          <c:symbol val="none"/>
        </c:marker>
      </c:pivotFmt>
      <c:pivotFmt>
        <c:idx val="689"/>
        <c:marker>
          <c:symbol val="none"/>
        </c:marker>
      </c:pivotFmt>
      <c:pivotFmt>
        <c:idx val="690"/>
        <c:marker>
          <c:symbol val="none"/>
        </c:marker>
      </c:pivotFmt>
      <c:pivotFmt>
        <c:idx val="691"/>
        <c:marker>
          <c:symbol val="none"/>
        </c:marker>
      </c:pivotFmt>
      <c:pivotFmt>
        <c:idx val="692"/>
        <c:marker>
          <c:symbol val="none"/>
        </c:marker>
      </c:pivotFmt>
      <c:pivotFmt>
        <c:idx val="693"/>
        <c:marker>
          <c:symbol val="none"/>
        </c:marker>
      </c:pivotFmt>
      <c:pivotFmt>
        <c:idx val="694"/>
        <c:marker>
          <c:symbol val="none"/>
        </c:marker>
      </c:pivotFmt>
      <c:pivotFmt>
        <c:idx val="695"/>
        <c:marker>
          <c:symbol val="none"/>
        </c:marker>
      </c:pivotFmt>
      <c:pivotFmt>
        <c:idx val="696"/>
        <c:marker>
          <c:symbol val="none"/>
        </c:marker>
      </c:pivotFmt>
      <c:pivotFmt>
        <c:idx val="697"/>
        <c:marker>
          <c:symbol val="none"/>
        </c:marker>
      </c:pivotFmt>
      <c:pivotFmt>
        <c:idx val="698"/>
        <c:marker>
          <c:symbol val="none"/>
        </c:marker>
      </c:pivotFmt>
      <c:pivotFmt>
        <c:idx val="699"/>
        <c:marker>
          <c:symbol val="none"/>
        </c:marker>
      </c:pivotFmt>
      <c:pivotFmt>
        <c:idx val="700"/>
        <c:marker>
          <c:symbol val="none"/>
        </c:marker>
      </c:pivotFmt>
      <c:pivotFmt>
        <c:idx val="701"/>
        <c:marker>
          <c:symbol val="none"/>
        </c:marker>
      </c:pivotFmt>
      <c:pivotFmt>
        <c:idx val="702"/>
        <c:marker>
          <c:symbol val="none"/>
        </c:marker>
      </c:pivotFmt>
      <c:pivotFmt>
        <c:idx val="703"/>
        <c:marker>
          <c:symbol val="none"/>
        </c:marker>
      </c:pivotFmt>
    </c:pivotFmts>
    <c:plotArea>
      <c:layout/>
      <c:lineChart>
        <c:grouping val="standard"/>
        <c:varyColors val="0"/>
        <c:ser>
          <c:idx val="0"/>
          <c:order val="0"/>
          <c:tx>
            <c:strRef>
              <c:f>'comparators (2)'!$B$37:$B$38</c:f>
              <c:strCache>
                <c:ptCount val="1"/>
                <c:pt idx="0">
                  <c:v>Acute</c:v>
                </c:pt>
              </c:strCache>
            </c:strRef>
          </c:tx>
          <c:marker>
            <c:symbol val="none"/>
          </c:marker>
          <c:cat>
            <c:multiLvlStrRef>
              <c:f>'comparators (2)'!$A$39:$A$71</c:f>
              <c:multiLvlStrCache>
                <c:ptCount val="29"/>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pt idx="12">
                    <c:v>APRIL</c:v>
                  </c:pt>
                  <c:pt idx="13">
                    <c:v>MAY</c:v>
                  </c:pt>
                  <c:pt idx="14">
                    <c:v>JUNE</c:v>
                  </c:pt>
                  <c:pt idx="15">
                    <c:v>JULY</c:v>
                  </c:pt>
                  <c:pt idx="16">
                    <c:v>AUGUST</c:v>
                  </c:pt>
                  <c:pt idx="17">
                    <c:v>SEPTEMBER</c:v>
                  </c:pt>
                  <c:pt idx="18">
                    <c:v>OCTOBER</c:v>
                  </c:pt>
                  <c:pt idx="19">
                    <c:v>NOVEMBER</c:v>
                  </c:pt>
                  <c:pt idx="20">
                    <c:v>DECEMBER</c:v>
                  </c:pt>
                  <c:pt idx="21">
                    <c:v>JANUARY</c:v>
                  </c:pt>
                  <c:pt idx="22">
                    <c:v>FEBRUARY</c:v>
                  </c:pt>
                  <c:pt idx="23">
                    <c:v>MARCH</c:v>
                  </c:pt>
                  <c:pt idx="24">
                    <c:v>APRIL</c:v>
                  </c:pt>
                  <c:pt idx="25">
                    <c:v>MAY</c:v>
                  </c:pt>
                  <c:pt idx="26">
                    <c:v>JUNE</c:v>
                  </c:pt>
                  <c:pt idx="27">
                    <c:v>JULY</c:v>
                  </c:pt>
                  <c:pt idx="28">
                    <c:v>AUGUST</c:v>
                  </c:pt>
                </c:lvl>
                <c:lvl>
                  <c:pt idx="0">
                    <c:v>2016-17</c:v>
                  </c:pt>
                  <c:pt idx="12">
                    <c:v>2017-18</c:v>
                  </c:pt>
                  <c:pt idx="24">
                    <c:v>2018-19</c:v>
                  </c:pt>
                </c:lvl>
              </c:multiLvlStrCache>
            </c:multiLvlStrRef>
          </c:cat>
          <c:val>
            <c:numRef>
              <c:f>'comparators (2)'!$B$39:$B$71</c:f>
              <c:numCache>
                <c:formatCode>General</c:formatCode>
                <c:ptCount val="29"/>
                <c:pt idx="0">
                  <c:v>55</c:v>
                </c:pt>
                <c:pt idx="1">
                  <c:v>115</c:v>
                </c:pt>
                <c:pt idx="2">
                  <c:v>130</c:v>
                </c:pt>
                <c:pt idx="3">
                  <c:v>60</c:v>
                </c:pt>
                <c:pt idx="4">
                  <c:v>212</c:v>
                </c:pt>
                <c:pt idx="5">
                  <c:v>343</c:v>
                </c:pt>
                <c:pt idx="6">
                  <c:v>179</c:v>
                </c:pt>
                <c:pt idx="7">
                  <c:v>194</c:v>
                </c:pt>
                <c:pt idx="8">
                  <c:v>229</c:v>
                </c:pt>
                <c:pt idx="9">
                  <c:v>374</c:v>
                </c:pt>
                <c:pt idx="10">
                  <c:v>356</c:v>
                </c:pt>
                <c:pt idx="11">
                  <c:v>382</c:v>
                </c:pt>
                <c:pt idx="12">
                  <c:v>218</c:v>
                </c:pt>
                <c:pt idx="13">
                  <c:v>171</c:v>
                </c:pt>
                <c:pt idx="14">
                  <c:v>252</c:v>
                </c:pt>
                <c:pt idx="15">
                  <c:v>116</c:v>
                </c:pt>
                <c:pt idx="16">
                  <c:v>122</c:v>
                </c:pt>
                <c:pt idx="17">
                  <c:v>49</c:v>
                </c:pt>
                <c:pt idx="18">
                  <c:v>16</c:v>
                </c:pt>
                <c:pt idx="19">
                  <c:v>64</c:v>
                </c:pt>
                <c:pt idx="20">
                  <c:v>13</c:v>
                </c:pt>
                <c:pt idx="21">
                  <c:v>20</c:v>
                </c:pt>
                <c:pt idx="22">
                  <c:v>24</c:v>
                </c:pt>
                <c:pt idx="23">
                  <c:v>16</c:v>
                </c:pt>
                <c:pt idx="24">
                  <c:v>21</c:v>
                </c:pt>
                <c:pt idx="25">
                  <c:v>33</c:v>
                </c:pt>
                <c:pt idx="26">
                  <c:v>4</c:v>
                </c:pt>
                <c:pt idx="27">
                  <c:v>28</c:v>
                </c:pt>
                <c:pt idx="28">
                  <c:v>0</c:v>
                </c:pt>
              </c:numCache>
            </c:numRef>
          </c:val>
          <c:smooth val="0"/>
        </c:ser>
        <c:ser>
          <c:idx val="1"/>
          <c:order val="1"/>
          <c:tx>
            <c:strRef>
              <c:f>'comparators (2)'!$C$37:$C$38</c:f>
              <c:strCache>
                <c:ptCount val="1"/>
                <c:pt idx="0">
                  <c:v>Non-Acute</c:v>
                </c:pt>
              </c:strCache>
            </c:strRef>
          </c:tx>
          <c:marker>
            <c:symbol val="none"/>
          </c:marker>
          <c:cat>
            <c:multiLvlStrRef>
              <c:f>'comparators (2)'!$A$39:$A$71</c:f>
              <c:multiLvlStrCache>
                <c:ptCount val="29"/>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pt idx="12">
                    <c:v>APRIL</c:v>
                  </c:pt>
                  <c:pt idx="13">
                    <c:v>MAY</c:v>
                  </c:pt>
                  <c:pt idx="14">
                    <c:v>JUNE</c:v>
                  </c:pt>
                  <c:pt idx="15">
                    <c:v>JULY</c:v>
                  </c:pt>
                  <c:pt idx="16">
                    <c:v>AUGUST</c:v>
                  </c:pt>
                  <c:pt idx="17">
                    <c:v>SEPTEMBER</c:v>
                  </c:pt>
                  <c:pt idx="18">
                    <c:v>OCTOBER</c:v>
                  </c:pt>
                  <c:pt idx="19">
                    <c:v>NOVEMBER</c:v>
                  </c:pt>
                  <c:pt idx="20">
                    <c:v>DECEMBER</c:v>
                  </c:pt>
                  <c:pt idx="21">
                    <c:v>JANUARY</c:v>
                  </c:pt>
                  <c:pt idx="22">
                    <c:v>FEBRUARY</c:v>
                  </c:pt>
                  <c:pt idx="23">
                    <c:v>MARCH</c:v>
                  </c:pt>
                  <c:pt idx="24">
                    <c:v>APRIL</c:v>
                  </c:pt>
                  <c:pt idx="25">
                    <c:v>MAY</c:v>
                  </c:pt>
                  <c:pt idx="26">
                    <c:v>JUNE</c:v>
                  </c:pt>
                  <c:pt idx="27">
                    <c:v>JULY</c:v>
                  </c:pt>
                  <c:pt idx="28">
                    <c:v>AUGUST</c:v>
                  </c:pt>
                </c:lvl>
                <c:lvl>
                  <c:pt idx="0">
                    <c:v>2016-17</c:v>
                  </c:pt>
                  <c:pt idx="12">
                    <c:v>2017-18</c:v>
                  </c:pt>
                  <c:pt idx="24">
                    <c:v>2018-19</c:v>
                  </c:pt>
                </c:lvl>
              </c:multiLvlStrCache>
            </c:multiLvlStrRef>
          </c:cat>
          <c:val>
            <c:numRef>
              <c:f>'comparators (2)'!$C$39:$C$71</c:f>
              <c:numCache>
                <c:formatCode>General</c:formatCode>
                <c:ptCount val="29"/>
                <c:pt idx="0">
                  <c:v>25</c:v>
                </c:pt>
                <c:pt idx="1">
                  <c:v>189</c:v>
                </c:pt>
                <c:pt idx="2">
                  <c:v>201</c:v>
                </c:pt>
                <c:pt idx="3">
                  <c:v>228</c:v>
                </c:pt>
                <c:pt idx="4">
                  <c:v>205</c:v>
                </c:pt>
                <c:pt idx="5">
                  <c:v>339</c:v>
                </c:pt>
                <c:pt idx="6">
                  <c:v>449</c:v>
                </c:pt>
                <c:pt idx="7">
                  <c:v>265</c:v>
                </c:pt>
                <c:pt idx="8">
                  <c:v>303</c:v>
                </c:pt>
                <c:pt idx="9">
                  <c:v>256</c:v>
                </c:pt>
                <c:pt idx="10">
                  <c:v>256</c:v>
                </c:pt>
                <c:pt idx="11">
                  <c:v>215</c:v>
                </c:pt>
                <c:pt idx="12">
                  <c:v>243</c:v>
                </c:pt>
                <c:pt idx="13">
                  <c:v>195</c:v>
                </c:pt>
                <c:pt idx="14">
                  <c:v>147</c:v>
                </c:pt>
                <c:pt idx="15">
                  <c:v>167</c:v>
                </c:pt>
                <c:pt idx="16">
                  <c:v>218</c:v>
                </c:pt>
                <c:pt idx="17">
                  <c:v>198</c:v>
                </c:pt>
                <c:pt idx="18">
                  <c:v>92</c:v>
                </c:pt>
                <c:pt idx="19">
                  <c:v>156</c:v>
                </c:pt>
                <c:pt idx="20">
                  <c:v>101</c:v>
                </c:pt>
                <c:pt idx="21">
                  <c:v>46</c:v>
                </c:pt>
                <c:pt idx="22">
                  <c:v>18</c:v>
                </c:pt>
                <c:pt idx="23">
                  <c:v>8</c:v>
                </c:pt>
                <c:pt idx="24">
                  <c:v>9</c:v>
                </c:pt>
                <c:pt idx="25">
                  <c:v>43</c:v>
                </c:pt>
                <c:pt idx="26">
                  <c:v>22</c:v>
                </c:pt>
                <c:pt idx="27">
                  <c:v>75</c:v>
                </c:pt>
                <c:pt idx="28">
                  <c:v>130</c:v>
                </c:pt>
              </c:numCache>
            </c:numRef>
          </c:val>
          <c:smooth val="0"/>
        </c:ser>
        <c:dLbls>
          <c:showLegendKey val="0"/>
          <c:showVal val="0"/>
          <c:showCatName val="0"/>
          <c:showSerName val="0"/>
          <c:showPercent val="0"/>
          <c:showBubbleSize val="0"/>
        </c:dLbls>
        <c:smooth val="0"/>
        <c:axId val="343942328"/>
        <c:axId val="343942720"/>
      </c:lineChart>
      <c:catAx>
        <c:axId val="343942328"/>
        <c:scaling>
          <c:orientation val="minMax"/>
        </c:scaling>
        <c:delete val="0"/>
        <c:axPos val="b"/>
        <c:numFmt formatCode="General" sourceLinked="0"/>
        <c:majorTickMark val="out"/>
        <c:minorTickMark val="none"/>
        <c:tickLblPos val="nextTo"/>
        <c:txPr>
          <a:bodyPr/>
          <a:lstStyle/>
          <a:p>
            <a:pPr>
              <a:defRPr sz="800" baseline="0"/>
            </a:pPr>
            <a:endParaRPr lang="en-US"/>
          </a:p>
        </c:txPr>
        <c:crossAx val="343942720"/>
        <c:crosses val="autoZero"/>
        <c:auto val="1"/>
        <c:lblAlgn val="ctr"/>
        <c:lblOffset val="100"/>
        <c:noMultiLvlLbl val="0"/>
      </c:catAx>
      <c:valAx>
        <c:axId val="343942720"/>
        <c:scaling>
          <c:orientation val="minMax"/>
        </c:scaling>
        <c:delete val="0"/>
        <c:axPos val="l"/>
        <c:majorGridlines/>
        <c:numFmt formatCode="General" sourceLinked="1"/>
        <c:majorTickMark val="out"/>
        <c:minorTickMark val="none"/>
        <c:tickLblPos val="nextTo"/>
        <c:crossAx val="343942328"/>
        <c:crosses val="autoZero"/>
        <c:crossBetween val="between"/>
      </c:valAx>
    </c:plotArea>
    <c:legend>
      <c:legendPos val="b"/>
      <c:layout/>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[DTOC 2016_17 to 2018_19 revised1.xlsx]comparators (3)!PivotTable2</c:name>
    <c:fmtId val="337"/>
  </c:pivotSource>
  <c:chart>
    <c:title>
      <c:tx>
        <c:rich>
          <a:bodyPr/>
          <a:lstStyle/>
          <a:p>
            <a:pPr>
              <a:defRPr/>
            </a:pPr>
            <a:r>
              <a:rPr lang="en-GB" sz="1200" b="1" i="0" baseline="0">
                <a:effectLst/>
              </a:rPr>
              <a:t>Aug-18 Provider delayed days for Lancashire residents</a:t>
            </a:r>
            <a:endParaRPr lang="en-GB" sz="1200">
              <a:effectLst/>
            </a:endParaRPr>
          </a:p>
        </c:rich>
      </c:tx>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pivotFmt>
      <c:pivotFmt>
        <c:idx val="61"/>
        <c:marker>
          <c:symbol val="none"/>
        </c:marker>
      </c:pivotFmt>
      <c:pivotFmt>
        <c:idx val="62"/>
        <c:marker>
          <c:symbol val="none"/>
        </c:marker>
      </c:pivotFmt>
      <c:pivotFmt>
        <c:idx val="63"/>
        <c:marker>
          <c:symbol val="none"/>
        </c:marker>
      </c:pivotFmt>
      <c:pivotFmt>
        <c:idx val="64"/>
        <c:marker>
          <c:symbol val="none"/>
        </c:marker>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pivotFmt>
      <c:pivotFmt>
        <c:idx val="76"/>
        <c:marker>
          <c:symbol val="none"/>
        </c:marker>
      </c:pivotFmt>
      <c:pivotFmt>
        <c:idx val="77"/>
        <c:marker>
          <c:symbol val="none"/>
        </c:marker>
      </c:pivotFmt>
      <c:pivotFmt>
        <c:idx val="78"/>
        <c:marker>
          <c:symbol val="none"/>
        </c:marker>
      </c:pivotFmt>
      <c:pivotFmt>
        <c:idx val="79"/>
        <c:marker>
          <c:symbol val="none"/>
        </c:marker>
      </c:pivotFmt>
      <c:pivotFmt>
        <c:idx val="80"/>
        <c:marker>
          <c:symbol val="none"/>
        </c:marker>
      </c:pivotFmt>
      <c:pivotFmt>
        <c:idx val="81"/>
        <c:marker>
          <c:symbol val="none"/>
        </c:marker>
      </c:pivotFmt>
      <c:pivotFmt>
        <c:idx val="82"/>
        <c:marker>
          <c:symbol val="none"/>
        </c:marker>
      </c:pivotFmt>
      <c:pivotFmt>
        <c:idx val="83"/>
        <c:marker>
          <c:symbol val="none"/>
        </c:marker>
      </c:pivotFmt>
      <c:pivotFmt>
        <c:idx val="84"/>
        <c:marker>
          <c:symbol val="none"/>
        </c:marker>
      </c:pivotFmt>
      <c:pivotFmt>
        <c:idx val="85"/>
        <c:marker>
          <c:symbol val="none"/>
        </c:marker>
      </c:pivotFmt>
      <c:pivotFmt>
        <c:idx val="86"/>
        <c:marker>
          <c:symbol val="none"/>
        </c:marker>
      </c:pivotFmt>
      <c:pivotFmt>
        <c:idx val="87"/>
        <c:marker>
          <c:symbol val="none"/>
        </c:marker>
      </c:pivotFmt>
      <c:pivotFmt>
        <c:idx val="88"/>
        <c:marker>
          <c:symbol val="none"/>
        </c:marker>
      </c:pivotFmt>
      <c:pivotFmt>
        <c:idx val="89"/>
        <c:marker>
          <c:symbol val="none"/>
        </c:marker>
      </c:pivotFmt>
      <c:pivotFmt>
        <c:idx val="90"/>
        <c:marker>
          <c:symbol val="none"/>
        </c:marker>
      </c:pivotFmt>
      <c:pivotFmt>
        <c:idx val="91"/>
        <c:marker>
          <c:symbol val="none"/>
        </c:marker>
      </c:pivotFmt>
      <c:pivotFmt>
        <c:idx val="92"/>
        <c:marker>
          <c:symbol val="none"/>
        </c:marker>
      </c:pivotFmt>
      <c:pivotFmt>
        <c:idx val="93"/>
        <c:marker>
          <c:symbol val="none"/>
        </c:marker>
      </c:pivotFmt>
      <c:pivotFmt>
        <c:idx val="94"/>
        <c:marker>
          <c:symbol val="none"/>
        </c:marker>
      </c:pivotFmt>
      <c:pivotFmt>
        <c:idx val="95"/>
        <c:marker>
          <c:symbol val="none"/>
        </c:marker>
      </c:pivotFmt>
      <c:pivotFmt>
        <c:idx val="96"/>
        <c:marker>
          <c:symbol val="none"/>
        </c:marker>
      </c:pivotFmt>
      <c:pivotFmt>
        <c:idx val="97"/>
        <c:marker>
          <c:symbol val="none"/>
        </c:marker>
      </c:pivotFmt>
      <c:pivotFmt>
        <c:idx val="98"/>
        <c:marker>
          <c:symbol val="none"/>
        </c:marker>
      </c:pivotFmt>
      <c:pivotFmt>
        <c:idx val="99"/>
        <c:marker>
          <c:symbol val="none"/>
        </c:marker>
      </c:pivotFmt>
      <c:pivotFmt>
        <c:idx val="100"/>
        <c:marker>
          <c:symbol val="none"/>
        </c:marker>
      </c:pivotFmt>
      <c:pivotFmt>
        <c:idx val="101"/>
        <c:marker>
          <c:symbol val="none"/>
        </c:marker>
      </c:pivotFmt>
      <c:pivotFmt>
        <c:idx val="102"/>
        <c:marker>
          <c:symbol val="none"/>
        </c:marker>
      </c:pivotFmt>
      <c:pivotFmt>
        <c:idx val="103"/>
        <c:marker>
          <c:symbol val="none"/>
        </c:marker>
      </c:pivotFmt>
      <c:pivotFmt>
        <c:idx val="104"/>
        <c:marker>
          <c:symbol val="none"/>
        </c:marker>
      </c:pivotFmt>
      <c:pivotFmt>
        <c:idx val="105"/>
        <c:marker>
          <c:symbol val="none"/>
        </c:marker>
      </c:pivotFmt>
      <c:pivotFmt>
        <c:idx val="106"/>
        <c:marker>
          <c:symbol val="none"/>
        </c:marker>
      </c:pivotFmt>
      <c:pivotFmt>
        <c:idx val="107"/>
        <c:marker>
          <c:symbol val="none"/>
        </c:marker>
      </c:pivotFmt>
      <c:pivotFmt>
        <c:idx val="108"/>
        <c:marker>
          <c:symbol val="none"/>
        </c:marker>
      </c:pivotFmt>
      <c:pivotFmt>
        <c:idx val="109"/>
        <c:marker>
          <c:symbol val="none"/>
        </c:marker>
      </c:pivotFmt>
      <c:pivotFmt>
        <c:idx val="110"/>
        <c:marker>
          <c:symbol val="none"/>
        </c:marker>
      </c:pivotFmt>
      <c:pivotFmt>
        <c:idx val="111"/>
        <c:marker>
          <c:symbol val="none"/>
        </c:marker>
      </c:pivotFmt>
      <c:pivotFmt>
        <c:idx val="112"/>
        <c:marker>
          <c:symbol val="none"/>
        </c:marker>
      </c:pivotFmt>
      <c:pivotFmt>
        <c:idx val="113"/>
        <c:marker>
          <c:symbol val="none"/>
        </c:marker>
      </c:pivotFmt>
      <c:pivotFmt>
        <c:idx val="114"/>
        <c:marker>
          <c:symbol val="none"/>
        </c:marker>
      </c:pivotFmt>
      <c:pivotFmt>
        <c:idx val="115"/>
        <c:marker>
          <c:symbol val="none"/>
        </c:marker>
      </c:pivotFmt>
      <c:pivotFmt>
        <c:idx val="116"/>
        <c:marker>
          <c:symbol val="none"/>
        </c:marker>
      </c:pivotFmt>
      <c:pivotFmt>
        <c:idx val="117"/>
        <c:marker>
          <c:symbol val="none"/>
        </c:marker>
      </c:pivotFmt>
      <c:pivotFmt>
        <c:idx val="118"/>
        <c:marker>
          <c:symbol val="none"/>
        </c:marker>
      </c:pivotFmt>
      <c:pivotFmt>
        <c:idx val="119"/>
        <c:marker>
          <c:symbol val="none"/>
        </c:marker>
      </c:pivotFmt>
      <c:pivotFmt>
        <c:idx val="120"/>
        <c:marker>
          <c:symbol val="none"/>
        </c:marker>
      </c:pivotFmt>
      <c:pivotFmt>
        <c:idx val="121"/>
        <c:marker>
          <c:symbol val="none"/>
        </c:marker>
      </c:pivotFmt>
      <c:pivotFmt>
        <c:idx val="122"/>
        <c:marker>
          <c:symbol val="none"/>
        </c:marker>
      </c:pivotFmt>
      <c:pivotFmt>
        <c:idx val="123"/>
        <c:marker>
          <c:symbol val="none"/>
        </c:marker>
      </c:pivotFmt>
      <c:pivotFmt>
        <c:idx val="124"/>
        <c:marker>
          <c:symbol val="none"/>
        </c:marker>
      </c:pivotFmt>
      <c:pivotFmt>
        <c:idx val="125"/>
        <c:marker>
          <c:symbol val="none"/>
        </c:marker>
      </c:pivotFmt>
      <c:pivotFmt>
        <c:idx val="126"/>
        <c:marker>
          <c:symbol val="none"/>
        </c:marker>
      </c:pivotFmt>
      <c:pivotFmt>
        <c:idx val="127"/>
        <c:marker>
          <c:symbol val="none"/>
        </c:marker>
      </c:pivotFmt>
      <c:pivotFmt>
        <c:idx val="128"/>
        <c:marker>
          <c:symbol val="none"/>
        </c:marker>
      </c:pivotFmt>
      <c:pivotFmt>
        <c:idx val="129"/>
        <c:marker>
          <c:symbol val="none"/>
        </c:marker>
      </c:pivotFmt>
      <c:pivotFmt>
        <c:idx val="130"/>
        <c:marker>
          <c:symbol val="none"/>
        </c:marker>
      </c:pivotFmt>
      <c:pivotFmt>
        <c:idx val="131"/>
        <c:marker>
          <c:symbol val="none"/>
        </c:marker>
      </c:pivotFmt>
      <c:pivotFmt>
        <c:idx val="132"/>
        <c:marker>
          <c:symbol val="none"/>
        </c:marker>
      </c:pivotFmt>
      <c:pivotFmt>
        <c:idx val="133"/>
        <c:marker>
          <c:symbol val="none"/>
        </c:marker>
      </c:pivotFmt>
      <c:pivotFmt>
        <c:idx val="134"/>
        <c:marker>
          <c:symbol val="none"/>
        </c:marker>
      </c:pivotFmt>
      <c:pivotFmt>
        <c:idx val="135"/>
        <c:marker>
          <c:symbol val="none"/>
        </c:marker>
      </c:pivotFmt>
      <c:pivotFmt>
        <c:idx val="136"/>
        <c:marker>
          <c:symbol val="none"/>
        </c:marker>
      </c:pivotFmt>
      <c:pivotFmt>
        <c:idx val="137"/>
        <c:marker>
          <c:symbol val="none"/>
        </c:marker>
      </c:pivotFmt>
      <c:pivotFmt>
        <c:idx val="138"/>
        <c:marker>
          <c:symbol val="none"/>
        </c:marker>
      </c:pivotFmt>
      <c:pivotFmt>
        <c:idx val="139"/>
        <c:marker>
          <c:symbol val="none"/>
        </c:marker>
      </c:pivotFmt>
      <c:pivotFmt>
        <c:idx val="140"/>
        <c:marker>
          <c:symbol val="none"/>
        </c:marker>
      </c:pivotFmt>
      <c:pivotFmt>
        <c:idx val="141"/>
        <c:marker>
          <c:symbol val="none"/>
        </c:marker>
      </c:pivotFmt>
      <c:pivotFmt>
        <c:idx val="142"/>
        <c:marker>
          <c:symbol val="none"/>
        </c:marker>
      </c:pivotFmt>
      <c:pivotFmt>
        <c:idx val="143"/>
        <c:marker>
          <c:symbol val="none"/>
        </c:marker>
      </c:pivotFmt>
      <c:pivotFmt>
        <c:idx val="144"/>
        <c:marker>
          <c:symbol val="none"/>
        </c:marker>
      </c:pivotFmt>
      <c:pivotFmt>
        <c:idx val="145"/>
        <c:marker>
          <c:symbol val="none"/>
        </c:marker>
      </c:pivotFmt>
      <c:pivotFmt>
        <c:idx val="146"/>
        <c:marker>
          <c:symbol val="none"/>
        </c:marker>
      </c:pivotFmt>
      <c:pivotFmt>
        <c:idx val="147"/>
        <c:marker>
          <c:symbol val="none"/>
        </c:marker>
      </c:pivotFmt>
      <c:pivotFmt>
        <c:idx val="148"/>
        <c:marker>
          <c:symbol val="none"/>
        </c:marker>
      </c:pivotFmt>
      <c:pivotFmt>
        <c:idx val="149"/>
        <c:marker>
          <c:symbol val="none"/>
        </c:marker>
      </c:pivotFmt>
      <c:pivotFmt>
        <c:idx val="150"/>
        <c:marker>
          <c:symbol val="none"/>
        </c:marker>
      </c:pivotFmt>
      <c:pivotFmt>
        <c:idx val="151"/>
        <c:marker>
          <c:symbol val="none"/>
        </c:marker>
      </c:pivotFmt>
      <c:pivotFmt>
        <c:idx val="152"/>
        <c:marker>
          <c:symbol val="none"/>
        </c:marker>
      </c:pivotFmt>
      <c:pivotFmt>
        <c:idx val="153"/>
        <c:marker>
          <c:symbol val="none"/>
        </c:marker>
      </c:pivotFmt>
      <c:pivotFmt>
        <c:idx val="154"/>
        <c:marker>
          <c:symbol val="none"/>
        </c:marker>
      </c:pivotFmt>
      <c:pivotFmt>
        <c:idx val="155"/>
        <c:marker>
          <c:symbol val="none"/>
        </c:marker>
      </c:pivotFmt>
      <c:pivotFmt>
        <c:idx val="156"/>
        <c:marker>
          <c:symbol val="none"/>
        </c:marker>
      </c:pivotFmt>
      <c:pivotFmt>
        <c:idx val="157"/>
        <c:marker>
          <c:symbol val="none"/>
        </c:marker>
      </c:pivotFmt>
      <c:pivotFmt>
        <c:idx val="158"/>
        <c:marker>
          <c:symbol val="none"/>
        </c:marker>
      </c:pivotFmt>
      <c:pivotFmt>
        <c:idx val="159"/>
        <c:marker>
          <c:symbol val="none"/>
        </c:marker>
      </c:pivotFmt>
      <c:pivotFmt>
        <c:idx val="160"/>
        <c:marker>
          <c:symbol val="none"/>
        </c:marker>
      </c:pivotFmt>
      <c:pivotFmt>
        <c:idx val="161"/>
        <c:marker>
          <c:symbol val="none"/>
        </c:marker>
      </c:pivotFmt>
      <c:pivotFmt>
        <c:idx val="162"/>
        <c:marker>
          <c:symbol val="none"/>
        </c:marker>
      </c:pivotFmt>
      <c:pivotFmt>
        <c:idx val="163"/>
        <c:marker>
          <c:symbol val="none"/>
        </c:marker>
      </c:pivotFmt>
      <c:pivotFmt>
        <c:idx val="164"/>
        <c:marker>
          <c:symbol val="none"/>
        </c:marker>
      </c:pivotFmt>
      <c:pivotFmt>
        <c:idx val="165"/>
        <c:marker>
          <c:symbol val="none"/>
        </c:marker>
      </c:pivotFmt>
      <c:pivotFmt>
        <c:idx val="166"/>
        <c:marker>
          <c:symbol val="none"/>
        </c:marker>
      </c:pivotFmt>
      <c:pivotFmt>
        <c:idx val="167"/>
        <c:marker>
          <c:symbol val="none"/>
        </c:marker>
      </c:pivotFmt>
      <c:pivotFmt>
        <c:idx val="168"/>
        <c:marker>
          <c:symbol val="none"/>
        </c:marker>
      </c:pivotFmt>
      <c:pivotFmt>
        <c:idx val="169"/>
        <c:marker>
          <c:symbol val="none"/>
        </c:marker>
      </c:pivotFmt>
    </c:pivotFmts>
    <c:plotArea>
      <c:layout/>
      <c:barChart>
        <c:barDir val="bar"/>
        <c:grouping val="clustered"/>
        <c:varyColors val="0"/>
        <c:ser>
          <c:idx val="0"/>
          <c:order val="0"/>
          <c:tx>
            <c:strRef>
              <c:f>'comparators (3)'!$B$37</c:f>
              <c:strCache>
                <c:ptCount val="1"/>
                <c:pt idx="0">
                  <c:v>Sum of NHS Days</c:v>
                </c:pt>
              </c:strCache>
            </c:strRef>
          </c:tx>
          <c:invertIfNegative val="0"/>
          <c:cat>
            <c:strRef>
              <c:f>'comparators (3)'!$A$38:$A$54</c:f>
              <c:strCache>
                <c:ptCount val="16"/>
                <c:pt idx="0">
                  <c:v>AIREDALE NHS FOUNDATION TRUST</c:v>
                </c:pt>
                <c:pt idx="1">
                  <c:v>BLACKPOOL TEACHING HOSPITALS NHS FOUNDATION TRUST</c:v>
                </c:pt>
                <c:pt idx="2">
                  <c:v>EAST LANCASHIRE HOSPITALS NHS TRUST</c:v>
                </c:pt>
                <c:pt idx="3">
                  <c:v>HARROGATE AND DISTRICT NHS FOUNDATION TRUST</c:v>
                </c:pt>
                <c:pt idx="4">
                  <c:v>LANCASHIRE CARE NHS FOUNDATION TRUST</c:v>
                </c:pt>
                <c:pt idx="5">
                  <c:v>LANCASHIRE TEACHING HOSPITALS NHS FOUNDATION TRUST</c:v>
                </c:pt>
                <c:pt idx="6">
                  <c:v>LEEDS AND YORK PARTNERSHIP NHS FOUNDATION TRUST</c:v>
                </c:pt>
                <c:pt idx="7">
                  <c:v>LIVERPOOL HEART AND CHEST HOSPITAL NHS FOUNDATION TRUST</c:v>
                </c:pt>
                <c:pt idx="8">
                  <c:v>MERSEY CARE NHS FOUNDATION TRUST</c:v>
                </c:pt>
                <c:pt idx="9">
                  <c:v>NORFOLK COMMUNITY HEALTH AND CARE NHS TRUST</c:v>
                </c:pt>
                <c:pt idx="10">
                  <c:v>PENNINE ACUTE HOSPITALS NHS TRUST</c:v>
                </c:pt>
                <c:pt idx="11">
                  <c:v>SOUTHPORT AND ORMSKIRK HOSPITAL NHS TRUST</c:v>
                </c:pt>
                <c:pt idx="12">
                  <c:v>THE NEWCASTLE UPON TYNE HOSPITALS NHS FOUNDATION TRUST</c:v>
                </c:pt>
                <c:pt idx="13">
                  <c:v>THE WALTON CENTRE NHS FOUNDATION TRUST</c:v>
                </c:pt>
                <c:pt idx="14">
                  <c:v>UNIVERSITY HOSPITALS OF MORECAMBE BAY NHS FOUNDATION TRUST</c:v>
                </c:pt>
                <c:pt idx="15">
                  <c:v>WRIGHTINGTON, WIGAN AND LEIGH NHS FOUNDATION TRUST</c:v>
                </c:pt>
              </c:strCache>
            </c:strRef>
          </c:cat>
          <c:val>
            <c:numRef>
              <c:f>'comparators (3)'!$B$38:$B$54</c:f>
              <c:numCache>
                <c:formatCode>General</c:formatCode>
                <c:ptCount val="16"/>
                <c:pt idx="0">
                  <c:v>49</c:v>
                </c:pt>
                <c:pt idx="1">
                  <c:v>178</c:v>
                </c:pt>
                <c:pt idx="2">
                  <c:v>419</c:v>
                </c:pt>
                <c:pt idx="3">
                  <c:v>3</c:v>
                </c:pt>
                <c:pt idx="4">
                  <c:v>93</c:v>
                </c:pt>
                <c:pt idx="5">
                  <c:v>505</c:v>
                </c:pt>
                <c:pt idx="6">
                  <c:v>0</c:v>
                </c:pt>
                <c:pt idx="7">
                  <c:v>1</c:v>
                </c:pt>
                <c:pt idx="8">
                  <c:v>0</c:v>
                </c:pt>
                <c:pt idx="9">
                  <c:v>14</c:v>
                </c:pt>
                <c:pt idx="10">
                  <c:v>4</c:v>
                </c:pt>
                <c:pt idx="11">
                  <c:v>49</c:v>
                </c:pt>
                <c:pt idx="12">
                  <c:v>13</c:v>
                </c:pt>
                <c:pt idx="13">
                  <c:v>17</c:v>
                </c:pt>
                <c:pt idx="14">
                  <c:v>220</c:v>
                </c:pt>
                <c:pt idx="15">
                  <c:v>3</c:v>
                </c:pt>
              </c:numCache>
            </c:numRef>
          </c:val>
        </c:ser>
        <c:ser>
          <c:idx val="1"/>
          <c:order val="1"/>
          <c:tx>
            <c:strRef>
              <c:f>'comparators (3)'!$C$37</c:f>
              <c:strCache>
                <c:ptCount val="1"/>
                <c:pt idx="0">
                  <c:v>Sum of Social Care Days</c:v>
                </c:pt>
              </c:strCache>
            </c:strRef>
          </c:tx>
          <c:invertIfNegative val="0"/>
          <c:cat>
            <c:strRef>
              <c:f>'comparators (3)'!$A$38:$A$54</c:f>
              <c:strCache>
                <c:ptCount val="16"/>
                <c:pt idx="0">
                  <c:v>AIREDALE NHS FOUNDATION TRUST</c:v>
                </c:pt>
                <c:pt idx="1">
                  <c:v>BLACKPOOL TEACHING HOSPITALS NHS FOUNDATION TRUST</c:v>
                </c:pt>
                <c:pt idx="2">
                  <c:v>EAST LANCASHIRE HOSPITALS NHS TRUST</c:v>
                </c:pt>
                <c:pt idx="3">
                  <c:v>HARROGATE AND DISTRICT NHS FOUNDATION TRUST</c:v>
                </c:pt>
                <c:pt idx="4">
                  <c:v>LANCASHIRE CARE NHS FOUNDATION TRUST</c:v>
                </c:pt>
                <c:pt idx="5">
                  <c:v>LANCASHIRE TEACHING HOSPITALS NHS FOUNDATION TRUST</c:v>
                </c:pt>
                <c:pt idx="6">
                  <c:v>LEEDS AND YORK PARTNERSHIP NHS FOUNDATION TRUST</c:v>
                </c:pt>
                <c:pt idx="7">
                  <c:v>LIVERPOOL HEART AND CHEST HOSPITAL NHS FOUNDATION TRUST</c:v>
                </c:pt>
                <c:pt idx="8">
                  <c:v>MERSEY CARE NHS FOUNDATION TRUST</c:v>
                </c:pt>
                <c:pt idx="9">
                  <c:v>NORFOLK COMMUNITY HEALTH AND CARE NHS TRUST</c:v>
                </c:pt>
                <c:pt idx="10">
                  <c:v>PENNINE ACUTE HOSPITALS NHS TRUST</c:v>
                </c:pt>
                <c:pt idx="11">
                  <c:v>SOUTHPORT AND ORMSKIRK HOSPITAL NHS TRUST</c:v>
                </c:pt>
                <c:pt idx="12">
                  <c:v>THE NEWCASTLE UPON TYNE HOSPITALS NHS FOUNDATION TRUST</c:v>
                </c:pt>
                <c:pt idx="13">
                  <c:v>THE WALTON CENTRE NHS FOUNDATION TRUST</c:v>
                </c:pt>
                <c:pt idx="14">
                  <c:v>UNIVERSITY HOSPITALS OF MORECAMBE BAY NHS FOUNDATION TRUST</c:v>
                </c:pt>
                <c:pt idx="15">
                  <c:v>WRIGHTINGTON, WIGAN AND LEIGH NHS FOUNDATION TRUST</c:v>
                </c:pt>
              </c:strCache>
            </c:strRef>
          </c:cat>
          <c:val>
            <c:numRef>
              <c:f>'comparators (3)'!$C$38:$C$54</c:f>
              <c:numCache>
                <c:formatCode>General</c:formatCode>
                <c:ptCount val="16"/>
                <c:pt idx="0">
                  <c:v>0</c:v>
                </c:pt>
                <c:pt idx="1">
                  <c:v>175</c:v>
                </c:pt>
                <c:pt idx="2">
                  <c:v>130</c:v>
                </c:pt>
                <c:pt idx="3">
                  <c:v>0</c:v>
                </c:pt>
                <c:pt idx="4">
                  <c:v>0</c:v>
                </c:pt>
                <c:pt idx="5">
                  <c:v>677</c:v>
                </c:pt>
                <c:pt idx="6">
                  <c:v>0</c:v>
                </c:pt>
                <c:pt idx="7">
                  <c:v>0</c:v>
                </c:pt>
                <c:pt idx="8">
                  <c:v>31</c:v>
                </c:pt>
                <c:pt idx="9">
                  <c:v>0</c:v>
                </c:pt>
                <c:pt idx="10">
                  <c:v>8</c:v>
                </c:pt>
                <c:pt idx="11">
                  <c:v>7</c:v>
                </c:pt>
                <c:pt idx="12">
                  <c:v>0</c:v>
                </c:pt>
                <c:pt idx="13">
                  <c:v>0</c:v>
                </c:pt>
                <c:pt idx="14">
                  <c:v>191</c:v>
                </c:pt>
                <c:pt idx="15">
                  <c:v>13</c:v>
                </c:pt>
              </c:numCache>
            </c:numRef>
          </c:val>
        </c:ser>
        <c:ser>
          <c:idx val="2"/>
          <c:order val="2"/>
          <c:tx>
            <c:strRef>
              <c:f>'comparators (3)'!$D$37</c:f>
              <c:strCache>
                <c:ptCount val="1"/>
                <c:pt idx="0">
                  <c:v>Sum of NHS and Social Care Days</c:v>
                </c:pt>
              </c:strCache>
            </c:strRef>
          </c:tx>
          <c:invertIfNegative val="0"/>
          <c:cat>
            <c:strRef>
              <c:f>'comparators (3)'!$A$38:$A$54</c:f>
              <c:strCache>
                <c:ptCount val="16"/>
                <c:pt idx="0">
                  <c:v>AIREDALE NHS FOUNDATION TRUST</c:v>
                </c:pt>
                <c:pt idx="1">
                  <c:v>BLACKPOOL TEACHING HOSPITALS NHS FOUNDATION TRUST</c:v>
                </c:pt>
                <c:pt idx="2">
                  <c:v>EAST LANCASHIRE HOSPITALS NHS TRUST</c:v>
                </c:pt>
                <c:pt idx="3">
                  <c:v>HARROGATE AND DISTRICT NHS FOUNDATION TRUST</c:v>
                </c:pt>
                <c:pt idx="4">
                  <c:v>LANCASHIRE CARE NHS FOUNDATION TRUST</c:v>
                </c:pt>
                <c:pt idx="5">
                  <c:v>LANCASHIRE TEACHING HOSPITALS NHS FOUNDATION TRUST</c:v>
                </c:pt>
                <c:pt idx="6">
                  <c:v>LEEDS AND YORK PARTNERSHIP NHS FOUNDATION TRUST</c:v>
                </c:pt>
                <c:pt idx="7">
                  <c:v>LIVERPOOL HEART AND CHEST HOSPITAL NHS FOUNDATION TRUST</c:v>
                </c:pt>
                <c:pt idx="8">
                  <c:v>MERSEY CARE NHS FOUNDATION TRUST</c:v>
                </c:pt>
                <c:pt idx="9">
                  <c:v>NORFOLK COMMUNITY HEALTH AND CARE NHS TRUST</c:v>
                </c:pt>
                <c:pt idx="10">
                  <c:v>PENNINE ACUTE HOSPITALS NHS TRUST</c:v>
                </c:pt>
                <c:pt idx="11">
                  <c:v>SOUTHPORT AND ORMSKIRK HOSPITAL NHS TRUST</c:v>
                </c:pt>
                <c:pt idx="12">
                  <c:v>THE NEWCASTLE UPON TYNE HOSPITALS NHS FOUNDATION TRUST</c:v>
                </c:pt>
                <c:pt idx="13">
                  <c:v>THE WALTON CENTRE NHS FOUNDATION TRUST</c:v>
                </c:pt>
                <c:pt idx="14">
                  <c:v>UNIVERSITY HOSPITALS OF MORECAMBE BAY NHS FOUNDATION TRUST</c:v>
                </c:pt>
                <c:pt idx="15">
                  <c:v>WRIGHTINGTON, WIGAN AND LEIGH NHS FOUNDATION TRUST</c:v>
                </c:pt>
              </c:strCache>
            </c:strRef>
          </c:cat>
          <c:val>
            <c:numRef>
              <c:f>'comparators (3)'!$D$38:$D$54</c:f>
              <c:numCache>
                <c:formatCode>General</c:formatCode>
                <c:ptCount val="16"/>
                <c:pt idx="0">
                  <c:v>0</c:v>
                </c:pt>
                <c:pt idx="1">
                  <c:v>18</c:v>
                </c:pt>
                <c:pt idx="2">
                  <c:v>2</c:v>
                </c:pt>
                <c:pt idx="3">
                  <c:v>0</c:v>
                </c:pt>
                <c:pt idx="4">
                  <c:v>104</c:v>
                </c:pt>
                <c:pt idx="5">
                  <c:v>29</c:v>
                </c:pt>
                <c:pt idx="6">
                  <c:v>31</c:v>
                </c:pt>
                <c:pt idx="7">
                  <c:v>0</c:v>
                </c:pt>
                <c:pt idx="8">
                  <c:v>0</c:v>
                </c:pt>
                <c:pt idx="9">
                  <c:v>0</c:v>
                </c:pt>
                <c:pt idx="10">
                  <c:v>0</c:v>
                </c:pt>
                <c:pt idx="11">
                  <c:v>0</c:v>
                </c:pt>
                <c:pt idx="12">
                  <c:v>0</c:v>
                </c:pt>
                <c:pt idx="13">
                  <c:v>0</c:v>
                </c:pt>
                <c:pt idx="14">
                  <c:v>0</c:v>
                </c:pt>
                <c:pt idx="15">
                  <c:v>0</c:v>
                </c:pt>
              </c:numCache>
            </c:numRef>
          </c:val>
        </c:ser>
        <c:dLbls>
          <c:showLegendKey val="0"/>
          <c:showVal val="0"/>
          <c:showCatName val="0"/>
          <c:showSerName val="0"/>
          <c:showPercent val="0"/>
          <c:showBubbleSize val="0"/>
        </c:dLbls>
        <c:gapWidth val="150"/>
        <c:axId val="343943504"/>
        <c:axId val="343943896"/>
      </c:barChart>
      <c:catAx>
        <c:axId val="343943504"/>
        <c:scaling>
          <c:orientation val="maxMin"/>
        </c:scaling>
        <c:delete val="0"/>
        <c:axPos val="l"/>
        <c:numFmt formatCode="General" sourceLinked="0"/>
        <c:majorTickMark val="out"/>
        <c:minorTickMark val="none"/>
        <c:tickLblPos val="nextTo"/>
        <c:txPr>
          <a:bodyPr/>
          <a:lstStyle/>
          <a:p>
            <a:pPr>
              <a:defRPr sz="800" baseline="0"/>
            </a:pPr>
            <a:endParaRPr lang="en-US"/>
          </a:p>
        </c:txPr>
        <c:crossAx val="343943896"/>
        <c:crosses val="autoZero"/>
        <c:auto val="1"/>
        <c:lblAlgn val="ctr"/>
        <c:lblOffset val="100"/>
        <c:noMultiLvlLbl val="0"/>
      </c:catAx>
      <c:valAx>
        <c:axId val="343943896"/>
        <c:scaling>
          <c:orientation val="minMax"/>
        </c:scaling>
        <c:delete val="0"/>
        <c:axPos val="t"/>
        <c:majorGridlines/>
        <c:numFmt formatCode="General" sourceLinked="1"/>
        <c:majorTickMark val="out"/>
        <c:minorTickMark val="none"/>
        <c:tickLblPos val="nextTo"/>
        <c:crossAx val="343943504"/>
        <c:crosses val="autoZero"/>
        <c:crossBetween val="between"/>
      </c:valAx>
    </c:plotArea>
    <c:legend>
      <c:legendPos val="b"/>
      <c:layout/>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[DTOC 2016_17 to 2018_19 revised1.xlsx]comparators (2)!PivotTable2</c:name>
    <c:fmtId val="871"/>
  </c:pivotSource>
  <c:chart>
    <c:title>
      <c:tx>
        <c:rich>
          <a:bodyPr/>
          <a:lstStyle/>
          <a:p>
            <a:pPr>
              <a:defRPr/>
            </a:pPr>
            <a:r>
              <a:rPr lang="en-GB" sz="1200" b="1" i="0" baseline="0">
                <a:effectLst/>
              </a:rPr>
              <a:t>Aug-18 Provider delayed days for Lancashire residents</a:t>
            </a:r>
            <a:endParaRPr lang="en-GB" sz="1200">
              <a:effectLst/>
            </a:endParaRPr>
          </a:p>
        </c:rich>
      </c:tx>
      <c:layout>
        <c:manualLayout>
          <c:xMode val="edge"/>
          <c:yMode val="edge"/>
          <c:x val="0.18321472842502226"/>
          <c:y val="2.005396882080893E-2"/>
        </c:manualLayout>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pivotFmt>
      <c:pivotFmt>
        <c:idx val="61"/>
        <c:marker>
          <c:symbol val="none"/>
        </c:marker>
      </c:pivotFmt>
      <c:pivotFmt>
        <c:idx val="62"/>
        <c:marker>
          <c:symbol val="none"/>
        </c:marker>
      </c:pivotFmt>
      <c:pivotFmt>
        <c:idx val="63"/>
        <c:marker>
          <c:symbol val="none"/>
        </c:marker>
      </c:pivotFmt>
      <c:pivotFmt>
        <c:idx val="64"/>
        <c:marker>
          <c:symbol val="none"/>
        </c:marker>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pivotFmt>
      <c:pivotFmt>
        <c:idx val="76"/>
        <c:marker>
          <c:symbol val="none"/>
        </c:marker>
      </c:pivotFmt>
      <c:pivotFmt>
        <c:idx val="77"/>
        <c:marker>
          <c:symbol val="none"/>
        </c:marker>
      </c:pivotFmt>
      <c:pivotFmt>
        <c:idx val="78"/>
        <c:marker>
          <c:symbol val="none"/>
        </c:marker>
      </c:pivotFmt>
      <c:pivotFmt>
        <c:idx val="79"/>
        <c:marker>
          <c:symbol val="none"/>
        </c:marker>
      </c:pivotFmt>
      <c:pivotFmt>
        <c:idx val="80"/>
        <c:marker>
          <c:symbol val="none"/>
        </c:marker>
      </c:pivotFmt>
      <c:pivotFmt>
        <c:idx val="81"/>
        <c:marker>
          <c:symbol val="none"/>
        </c:marker>
      </c:pivotFmt>
      <c:pivotFmt>
        <c:idx val="82"/>
        <c:marker>
          <c:symbol val="none"/>
        </c:marker>
      </c:pivotFmt>
      <c:pivotFmt>
        <c:idx val="83"/>
        <c:marker>
          <c:symbol val="none"/>
        </c:marker>
      </c:pivotFmt>
      <c:pivotFmt>
        <c:idx val="84"/>
        <c:marker>
          <c:symbol val="none"/>
        </c:marker>
      </c:pivotFmt>
      <c:pivotFmt>
        <c:idx val="85"/>
        <c:marker>
          <c:symbol val="none"/>
        </c:marker>
      </c:pivotFmt>
      <c:pivotFmt>
        <c:idx val="86"/>
        <c:marker>
          <c:symbol val="none"/>
        </c:marker>
      </c:pivotFmt>
      <c:pivotFmt>
        <c:idx val="87"/>
        <c:marker>
          <c:symbol val="none"/>
        </c:marker>
      </c:pivotFmt>
      <c:pivotFmt>
        <c:idx val="88"/>
        <c:marker>
          <c:symbol val="none"/>
        </c:marker>
      </c:pivotFmt>
      <c:pivotFmt>
        <c:idx val="89"/>
        <c:marker>
          <c:symbol val="none"/>
        </c:marker>
      </c:pivotFmt>
      <c:pivotFmt>
        <c:idx val="90"/>
        <c:marker>
          <c:symbol val="none"/>
        </c:marker>
      </c:pivotFmt>
      <c:pivotFmt>
        <c:idx val="91"/>
        <c:marker>
          <c:symbol val="none"/>
        </c:marker>
      </c:pivotFmt>
      <c:pivotFmt>
        <c:idx val="92"/>
        <c:marker>
          <c:symbol val="none"/>
        </c:marker>
      </c:pivotFmt>
      <c:pivotFmt>
        <c:idx val="93"/>
        <c:marker>
          <c:symbol val="none"/>
        </c:marker>
      </c:pivotFmt>
      <c:pivotFmt>
        <c:idx val="94"/>
        <c:marker>
          <c:symbol val="none"/>
        </c:marker>
      </c:pivotFmt>
      <c:pivotFmt>
        <c:idx val="95"/>
        <c:marker>
          <c:symbol val="none"/>
        </c:marker>
      </c:pivotFmt>
      <c:pivotFmt>
        <c:idx val="96"/>
        <c:marker>
          <c:symbol val="none"/>
        </c:marker>
      </c:pivotFmt>
      <c:pivotFmt>
        <c:idx val="97"/>
        <c:marker>
          <c:symbol val="none"/>
        </c:marker>
      </c:pivotFmt>
      <c:pivotFmt>
        <c:idx val="98"/>
        <c:marker>
          <c:symbol val="none"/>
        </c:marker>
      </c:pivotFmt>
      <c:pivotFmt>
        <c:idx val="99"/>
        <c:marker>
          <c:symbol val="none"/>
        </c:marker>
      </c:pivotFmt>
      <c:pivotFmt>
        <c:idx val="100"/>
        <c:marker>
          <c:symbol val="none"/>
        </c:marker>
      </c:pivotFmt>
      <c:pivotFmt>
        <c:idx val="101"/>
      </c:pivotFmt>
      <c:pivotFmt>
        <c:idx val="102"/>
        <c:marker>
          <c:symbol val="none"/>
        </c:marker>
      </c:pivotFmt>
      <c:pivotFmt>
        <c:idx val="103"/>
        <c:marker>
          <c:symbol val="none"/>
        </c:marker>
      </c:pivotFmt>
      <c:pivotFmt>
        <c:idx val="104"/>
        <c:marker>
          <c:symbol val="none"/>
        </c:marker>
      </c:pivotFmt>
      <c:pivotFmt>
        <c:idx val="105"/>
      </c:pivotFmt>
      <c:pivotFmt>
        <c:idx val="106"/>
      </c:pivotFmt>
      <c:pivotFmt>
        <c:idx val="107"/>
      </c:pivotFmt>
      <c:pivotFmt>
        <c:idx val="108"/>
      </c:pivotFmt>
      <c:pivotFmt>
        <c:idx val="109"/>
      </c:pivotFmt>
      <c:pivotFmt>
        <c:idx val="110"/>
      </c:pivotFmt>
      <c:pivotFmt>
        <c:idx val="111"/>
      </c:pivotFmt>
      <c:pivotFmt>
        <c:idx val="112"/>
      </c:pivotFmt>
      <c:pivotFmt>
        <c:idx val="113"/>
      </c:pivotFmt>
      <c:pivotFmt>
        <c:idx val="114"/>
      </c:pivotFmt>
      <c:pivotFmt>
        <c:idx val="115"/>
      </c:pivotFmt>
      <c:pivotFmt>
        <c:idx val="116"/>
      </c:pivotFmt>
      <c:pivotFmt>
        <c:idx val="117"/>
      </c:pivotFmt>
      <c:pivotFmt>
        <c:idx val="118"/>
      </c:pivotFmt>
      <c:pivotFmt>
        <c:idx val="119"/>
      </c:pivotFmt>
      <c:pivotFmt>
        <c:idx val="120"/>
      </c:pivotFmt>
      <c:pivotFmt>
        <c:idx val="121"/>
      </c:pivotFmt>
      <c:pivotFmt>
        <c:idx val="122"/>
      </c:pivotFmt>
      <c:pivotFmt>
        <c:idx val="123"/>
        <c:marker>
          <c:symbol val="none"/>
        </c:marker>
      </c:pivotFmt>
      <c:pivotFmt>
        <c:idx val="124"/>
        <c:marker>
          <c:symbol val="none"/>
        </c:marker>
      </c:pivotFmt>
      <c:pivotFmt>
        <c:idx val="125"/>
        <c:marker>
          <c:symbol val="none"/>
        </c:marker>
      </c:pivotFmt>
      <c:pivotFmt>
        <c:idx val="126"/>
        <c:marker>
          <c:symbol val="none"/>
        </c:marker>
      </c:pivotFmt>
      <c:pivotFmt>
        <c:idx val="127"/>
        <c:marker>
          <c:symbol val="none"/>
        </c:marker>
      </c:pivotFmt>
      <c:pivotFmt>
        <c:idx val="128"/>
        <c:marker>
          <c:symbol val="none"/>
        </c:marker>
      </c:pivotFmt>
      <c:pivotFmt>
        <c:idx val="129"/>
        <c:marker>
          <c:symbol val="none"/>
        </c:marker>
      </c:pivotFmt>
      <c:pivotFmt>
        <c:idx val="130"/>
        <c:marker>
          <c:symbol val="none"/>
        </c:marker>
      </c:pivotFmt>
      <c:pivotFmt>
        <c:idx val="131"/>
        <c:marker>
          <c:symbol val="none"/>
        </c:marker>
      </c:pivotFmt>
      <c:pivotFmt>
        <c:idx val="132"/>
        <c:marker>
          <c:symbol val="none"/>
        </c:marker>
      </c:pivotFmt>
      <c:pivotFmt>
        <c:idx val="133"/>
        <c:marker>
          <c:symbol val="none"/>
        </c:marker>
      </c:pivotFmt>
      <c:pivotFmt>
        <c:idx val="134"/>
        <c:marker>
          <c:symbol val="none"/>
        </c:marker>
      </c:pivotFmt>
      <c:pivotFmt>
        <c:idx val="135"/>
        <c:marker>
          <c:symbol val="none"/>
        </c:marker>
      </c:pivotFmt>
      <c:pivotFmt>
        <c:idx val="136"/>
        <c:marker>
          <c:symbol val="none"/>
        </c:marker>
      </c:pivotFmt>
      <c:pivotFmt>
        <c:idx val="137"/>
        <c:marker>
          <c:symbol val="none"/>
        </c:marker>
      </c:pivotFmt>
      <c:pivotFmt>
        <c:idx val="138"/>
        <c:marker>
          <c:symbol val="none"/>
        </c:marker>
      </c:pivotFmt>
      <c:pivotFmt>
        <c:idx val="139"/>
        <c:marker>
          <c:symbol val="none"/>
        </c:marker>
      </c:pivotFmt>
      <c:pivotFmt>
        <c:idx val="140"/>
        <c:marker>
          <c:symbol val="none"/>
        </c:marker>
      </c:pivotFmt>
      <c:pivotFmt>
        <c:idx val="141"/>
        <c:marker>
          <c:symbol val="none"/>
        </c:marker>
      </c:pivotFmt>
      <c:pivotFmt>
        <c:idx val="142"/>
        <c:marker>
          <c:symbol val="none"/>
        </c:marker>
      </c:pivotFmt>
      <c:pivotFmt>
        <c:idx val="143"/>
        <c:marker>
          <c:symbol val="none"/>
        </c:marker>
      </c:pivotFmt>
      <c:pivotFmt>
        <c:idx val="144"/>
        <c:marker>
          <c:symbol val="none"/>
        </c:marker>
      </c:pivotFmt>
      <c:pivotFmt>
        <c:idx val="145"/>
        <c:marker>
          <c:symbol val="none"/>
        </c:marker>
      </c:pivotFmt>
      <c:pivotFmt>
        <c:idx val="146"/>
        <c:marker>
          <c:symbol val="none"/>
        </c:marker>
      </c:pivotFmt>
      <c:pivotFmt>
        <c:idx val="147"/>
        <c:marker>
          <c:symbol val="none"/>
        </c:marker>
      </c:pivotFmt>
      <c:pivotFmt>
        <c:idx val="148"/>
        <c:marker>
          <c:symbol val="none"/>
        </c:marker>
      </c:pivotFmt>
      <c:pivotFmt>
        <c:idx val="149"/>
        <c:marker>
          <c:symbol val="none"/>
        </c:marker>
      </c:pivotFmt>
      <c:pivotFmt>
        <c:idx val="150"/>
        <c:marker>
          <c:symbol val="none"/>
        </c:marker>
      </c:pivotFmt>
      <c:pivotFmt>
        <c:idx val="151"/>
        <c:marker>
          <c:symbol val="none"/>
        </c:marker>
      </c:pivotFmt>
      <c:pivotFmt>
        <c:idx val="152"/>
        <c:marker>
          <c:symbol val="none"/>
        </c:marker>
      </c:pivotFmt>
      <c:pivotFmt>
        <c:idx val="153"/>
        <c:marker>
          <c:symbol val="none"/>
        </c:marker>
      </c:pivotFmt>
      <c:pivotFmt>
        <c:idx val="154"/>
        <c:marker>
          <c:symbol val="none"/>
        </c:marker>
      </c:pivotFmt>
      <c:pivotFmt>
        <c:idx val="155"/>
        <c:marker>
          <c:symbol val="none"/>
        </c:marker>
      </c:pivotFmt>
      <c:pivotFmt>
        <c:idx val="156"/>
        <c:marker>
          <c:symbol val="none"/>
        </c:marker>
      </c:pivotFmt>
      <c:pivotFmt>
        <c:idx val="157"/>
        <c:marker>
          <c:symbol val="none"/>
        </c:marker>
      </c:pivotFmt>
      <c:pivotFmt>
        <c:idx val="158"/>
        <c:marker>
          <c:symbol val="none"/>
        </c:marker>
      </c:pivotFmt>
      <c:pivotFmt>
        <c:idx val="159"/>
        <c:marker>
          <c:symbol val="none"/>
        </c:marker>
      </c:pivotFmt>
      <c:pivotFmt>
        <c:idx val="160"/>
        <c:marker>
          <c:symbol val="none"/>
        </c:marker>
      </c:pivotFmt>
      <c:pivotFmt>
        <c:idx val="161"/>
        <c:marker>
          <c:symbol val="none"/>
        </c:marker>
      </c:pivotFmt>
      <c:pivotFmt>
        <c:idx val="162"/>
        <c:marker>
          <c:symbol val="none"/>
        </c:marker>
      </c:pivotFmt>
      <c:pivotFmt>
        <c:idx val="163"/>
        <c:marker>
          <c:symbol val="none"/>
        </c:marker>
      </c:pivotFmt>
      <c:pivotFmt>
        <c:idx val="164"/>
        <c:marker>
          <c:symbol val="none"/>
        </c:marker>
      </c:pivotFmt>
      <c:pivotFmt>
        <c:idx val="165"/>
        <c:marker>
          <c:symbol val="none"/>
        </c:marker>
      </c:pivotFmt>
      <c:pivotFmt>
        <c:idx val="166"/>
        <c:marker>
          <c:symbol val="none"/>
        </c:marker>
      </c:pivotFmt>
      <c:pivotFmt>
        <c:idx val="167"/>
        <c:marker>
          <c:symbol val="none"/>
        </c:marker>
      </c:pivotFmt>
      <c:pivotFmt>
        <c:idx val="168"/>
        <c:marker>
          <c:symbol val="none"/>
        </c:marker>
      </c:pivotFmt>
      <c:pivotFmt>
        <c:idx val="169"/>
        <c:marker>
          <c:symbol val="none"/>
        </c:marker>
      </c:pivotFmt>
      <c:pivotFmt>
        <c:idx val="170"/>
        <c:marker>
          <c:symbol val="none"/>
        </c:marker>
      </c:pivotFmt>
      <c:pivotFmt>
        <c:idx val="171"/>
        <c:marker>
          <c:symbol val="none"/>
        </c:marker>
      </c:pivotFmt>
      <c:pivotFmt>
        <c:idx val="172"/>
        <c:marker>
          <c:symbol val="none"/>
        </c:marker>
      </c:pivotFmt>
      <c:pivotFmt>
        <c:idx val="173"/>
        <c:marker>
          <c:symbol val="none"/>
        </c:marker>
      </c:pivotFmt>
      <c:pivotFmt>
        <c:idx val="174"/>
        <c:marker>
          <c:symbol val="none"/>
        </c:marker>
      </c:pivotFmt>
      <c:pivotFmt>
        <c:idx val="175"/>
        <c:marker>
          <c:symbol val="none"/>
        </c:marker>
      </c:pivotFmt>
      <c:pivotFmt>
        <c:idx val="176"/>
        <c:marker>
          <c:symbol val="none"/>
        </c:marker>
      </c:pivotFmt>
      <c:pivotFmt>
        <c:idx val="177"/>
        <c:marker>
          <c:symbol val="none"/>
        </c:marker>
      </c:pivotFmt>
      <c:pivotFmt>
        <c:idx val="178"/>
        <c:marker>
          <c:symbol val="none"/>
        </c:marker>
      </c:pivotFmt>
      <c:pivotFmt>
        <c:idx val="179"/>
        <c:marker>
          <c:symbol val="none"/>
        </c:marker>
      </c:pivotFmt>
      <c:pivotFmt>
        <c:idx val="180"/>
        <c:marker>
          <c:symbol val="none"/>
        </c:marker>
      </c:pivotFmt>
      <c:pivotFmt>
        <c:idx val="181"/>
        <c:marker>
          <c:symbol val="none"/>
        </c:marker>
      </c:pivotFmt>
      <c:pivotFmt>
        <c:idx val="182"/>
        <c:marker>
          <c:symbol val="none"/>
        </c:marker>
      </c:pivotFmt>
      <c:pivotFmt>
        <c:idx val="183"/>
        <c:marker>
          <c:symbol val="none"/>
        </c:marker>
      </c:pivotFmt>
      <c:pivotFmt>
        <c:idx val="184"/>
        <c:marker>
          <c:symbol val="none"/>
        </c:marker>
      </c:pivotFmt>
      <c:pivotFmt>
        <c:idx val="185"/>
        <c:marker>
          <c:symbol val="none"/>
        </c:marker>
      </c:pivotFmt>
      <c:pivotFmt>
        <c:idx val="186"/>
        <c:marker>
          <c:symbol val="none"/>
        </c:marker>
      </c:pivotFmt>
      <c:pivotFmt>
        <c:idx val="187"/>
        <c:marker>
          <c:symbol val="none"/>
        </c:marker>
      </c:pivotFmt>
      <c:pivotFmt>
        <c:idx val="188"/>
        <c:marker>
          <c:symbol val="none"/>
        </c:marker>
      </c:pivotFmt>
      <c:pivotFmt>
        <c:idx val="189"/>
        <c:marker>
          <c:symbol val="none"/>
        </c:marker>
      </c:pivotFmt>
      <c:pivotFmt>
        <c:idx val="190"/>
        <c:marker>
          <c:symbol val="none"/>
        </c:marker>
      </c:pivotFmt>
      <c:pivotFmt>
        <c:idx val="191"/>
        <c:marker>
          <c:symbol val="none"/>
        </c:marker>
      </c:pivotFmt>
      <c:pivotFmt>
        <c:idx val="192"/>
        <c:marker>
          <c:symbol val="none"/>
        </c:marker>
      </c:pivotFmt>
      <c:pivotFmt>
        <c:idx val="193"/>
        <c:marker>
          <c:symbol val="none"/>
        </c:marker>
      </c:pivotFmt>
      <c:pivotFmt>
        <c:idx val="194"/>
        <c:marker>
          <c:symbol val="none"/>
        </c:marker>
      </c:pivotFmt>
      <c:pivotFmt>
        <c:idx val="195"/>
        <c:marker>
          <c:symbol val="none"/>
        </c:marker>
      </c:pivotFmt>
      <c:pivotFmt>
        <c:idx val="196"/>
        <c:marker>
          <c:symbol val="none"/>
        </c:marker>
      </c:pivotFmt>
      <c:pivotFmt>
        <c:idx val="197"/>
        <c:marker>
          <c:symbol val="none"/>
        </c:marker>
      </c:pivotFmt>
      <c:pivotFmt>
        <c:idx val="198"/>
        <c:marker>
          <c:symbol val="none"/>
        </c:marker>
      </c:pivotFmt>
      <c:pivotFmt>
        <c:idx val="199"/>
        <c:marker>
          <c:symbol val="none"/>
        </c:marker>
      </c:pivotFmt>
      <c:pivotFmt>
        <c:idx val="200"/>
        <c:marker>
          <c:symbol val="none"/>
        </c:marker>
      </c:pivotFmt>
      <c:pivotFmt>
        <c:idx val="201"/>
        <c:marker>
          <c:symbol val="none"/>
        </c:marker>
      </c:pivotFmt>
      <c:pivotFmt>
        <c:idx val="202"/>
        <c:marker>
          <c:symbol val="none"/>
        </c:marker>
      </c:pivotFmt>
      <c:pivotFmt>
        <c:idx val="203"/>
        <c:marker>
          <c:symbol val="none"/>
        </c:marker>
      </c:pivotFmt>
      <c:pivotFmt>
        <c:idx val="204"/>
        <c:marker>
          <c:symbol val="none"/>
        </c:marker>
      </c:pivotFmt>
      <c:pivotFmt>
        <c:idx val="205"/>
        <c:marker>
          <c:symbol val="none"/>
        </c:marker>
      </c:pivotFmt>
      <c:pivotFmt>
        <c:idx val="206"/>
        <c:marker>
          <c:symbol val="none"/>
        </c:marker>
      </c:pivotFmt>
      <c:pivotFmt>
        <c:idx val="207"/>
        <c:marker>
          <c:symbol val="none"/>
        </c:marker>
      </c:pivotFmt>
      <c:pivotFmt>
        <c:idx val="208"/>
        <c:marker>
          <c:symbol val="none"/>
        </c:marker>
      </c:pivotFmt>
      <c:pivotFmt>
        <c:idx val="209"/>
        <c:marker>
          <c:symbol val="none"/>
        </c:marker>
      </c:pivotFmt>
      <c:pivotFmt>
        <c:idx val="210"/>
        <c:marker>
          <c:symbol val="none"/>
        </c:marker>
      </c:pivotFmt>
      <c:pivotFmt>
        <c:idx val="211"/>
        <c:marker>
          <c:symbol val="none"/>
        </c:marker>
      </c:pivotFmt>
      <c:pivotFmt>
        <c:idx val="212"/>
        <c:marker>
          <c:symbol val="none"/>
        </c:marker>
      </c:pivotFmt>
      <c:pivotFmt>
        <c:idx val="213"/>
        <c:marker>
          <c:symbol val="none"/>
        </c:marker>
      </c:pivotFmt>
      <c:pivotFmt>
        <c:idx val="214"/>
        <c:marker>
          <c:symbol val="none"/>
        </c:marker>
      </c:pivotFmt>
      <c:pivotFmt>
        <c:idx val="215"/>
        <c:marker>
          <c:symbol val="none"/>
        </c:marker>
      </c:pivotFmt>
      <c:pivotFmt>
        <c:idx val="216"/>
        <c:marker>
          <c:symbol val="none"/>
        </c:marker>
      </c:pivotFmt>
      <c:pivotFmt>
        <c:idx val="217"/>
        <c:marker>
          <c:symbol val="none"/>
        </c:marker>
      </c:pivotFmt>
      <c:pivotFmt>
        <c:idx val="218"/>
        <c:marker>
          <c:symbol val="none"/>
        </c:marker>
      </c:pivotFmt>
      <c:pivotFmt>
        <c:idx val="219"/>
        <c:marker>
          <c:symbol val="none"/>
        </c:marker>
      </c:pivotFmt>
      <c:pivotFmt>
        <c:idx val="220"/>
        <c:marker>
          <c:symbol val="none"/>
        </c:marker>
      </c:pivotFmt>
      <c:pivotFmt>
        <c:idx val="221"/>
        <c:marker>
          <c:symbol val="none"/>
        </c:marker>
      </c:pivotFmt>
      <c:pivotFmt>
        <c:idx val="222"/>
        <c:marker>
          <c:symbol val="none"/>
        </c:marker>
      </c:pivotFmt>
      <c:pivotFmt>
        <c:idx val="223"/>
        <c:marker>
          <c:symbol val="none"/>
        </c:marker>
      </c:pivotFmt>
      <c:pivotFmt>
        <c:idx val="224"/>
        <c:marker>
          <c:symbol val="none"/>
        </c:marker>
      </c:pivotFmt>
      <c:pivotFmt>
        <c:idx val="225"/>
        <c:marker>
          <c:symbol val="none"/>
        </c:marker>
      </c:pivotFmt>
      <c:pivotFmt>
        <c:idx val="226"/>
        <c:marker>
          <c:symbol val="none"/>
        </c:marker>
      </c:pivotFmt>
      <c:pivotFmt>
        <c:idx val="227"/>
        <c:marker>
          <c:symbol val="none"/>
        </c:marker>
      </c:pivotFmt>
      <c:pivotFmt>
        <c:idx val="228"/>
        <c:marker>
          <c:symbol val="none"/>
        </c:marker>
      </c:pivotFmt>
      <c:pivotFmt>
        <c:idx val="229"/>
        <c:marker>
          <c:symbol val="none"/>
        </c:marker>
      </c:pivotFmt>
      <c:pivotFmt>
        <c:idx val="230"/>
        <c:marker>
          <c:symbol val="none"/>
        </c:marker>
      </c:pivotFmt>
      <c:pivotFmt>
        <c:idx val="231"/>
        <c:marker>
          <c:symbol val="none"/>
        </c:marker>
      </c:pivotFmt>
      <c:pivotFmt>
        <c:idx val="232"/>
        <c:marker>
          <c:symbol val="none"/>
        </c:marker>
      </c:pivotFmt>
      <c:pivotFmt>
        <c:idx val="233"/>
        <c:marker>
          <c:symbol val="none"/>
        </c:marker>
      </c:pivotFmt>
      <c:pivotFmt>
        <c:idx val="234"/>
        <c:marker>
          <c:symbol val="none"/>
        </c:marker>
      </c:pivotFmt>
      <c:pivotFmt>
        <c:idx val="235"/>
        <c:marker>
          <c:symbol val="none"/>
        </c:marker>
      </c:pivotFmt>
      <c:pivotFmt>
        <c:idx val="236"/>
        <c:marker>
          <c:symbol val="none"/>
        </c:marker>
      </c:pivotFmt>
      <c:pivotFmt>
        <c:idx val="237"/>
        <c:marker>
          <c:symbol val="none"/>
        </c:marker>
      </c:pivotFmt>
      <c:pivotFmt>
        <c:idx val="238"/>
        <c:marker>
          <c:symbol val="none"/>
        </c:marker>
      </c:pivotFmt>
      <c:pivotFmt>
        <c:idx val="239"/>
        <c:marker>
          <c:symbol val="none"/>
        </c:marker>
      </c:pivotFmt>
      <c:pivotFmt>
        <c:idx val="240"/>
        <c:marker>
          <c:symbol val="none"/>
        </c:marker>
      </c:pivotFmt>
      <c:pivotFmt>
        <c:idx val="241"/>
        <c:marker>
          <c:symbol val="none"/>
        </c:marker>
      </c:pivotFmt>
      <c:pivotFmt>
        <c:idx val="242"/>
        <c:marker>
          <c:symbol val="none"/>
        </c:marker>
      </c:pivotFmt>
      <c:pivotFmt>
        <c:idx val="243"/>
        <c:marker>
          <c:symbol val="none"/>
        </c:marker>
      </c:pivotFmt>
      <c:pivotFmt>
        <c:idx val="244"/>
        <c:marker>
          <c:symbol val="none"/>
        </c:marker>
      </c:pivotFmt>
      <c:pivotFmt>
        <c:idx val="245"/>
        <c:marker>
          <c:symbol val="none"/>
        </c:marker>
      </c:pivotFmt>
      <c:pivotFmt>
        <c:idx val="246"/>
        <c:marker>
          <c:symbol val="none"/>
        </c:marker>
      </c:pivotFmt>
      <c:pivotFmt>
        <c:idx val="247"/>
        <c:marker>
          <c:symbol val="none"/>
        </c:marker>
      </c:pivotFmt>
      <c:pivotFmt>
        <c:idx val="248"/>
        <c:marker>
          <c:symbol val="none"/>
        </c:marker>
      </c:pivotFmt>
      <c:pivotFmt>
        <c:idx val="249"/>
        <c:marker>
          <c:symbol val="none"/>
        </c:marker>
      </c:pivotFmt>
      <c:pivotFmt>
        <c:idx val="250"/>
        <c:marker>
          <c:symbol val="none"/>
        </c:marker>
      </c:pivotFmt>
      <c:pivotFmt>
        <c:idx val="251"/>
        <c:marker>
          <c:symbol val="none"/>
        </c:marker>
      </c:pivotFmt>
      <c:pivotFmt>
        <c:idx val="252"/>
        <c:marker>
          <c:symbol val="none"/>
        </c:marker>
      </c:pivotFmt>
      <c:pivotFmt>
        <c:idx val="253"/>
        <c:marker>
          <c:symbol val="none"/>
        </c:marker>
      </c:pivotFmt>
      <c:pivotFmt>
        <c:idx val="254"/>
        <c:marker>
          <c:symbol val="none"/>
        </c:marker>
      </c:pivotFmt>
      <c:pivotFmt>
        <c:idx val="255"/>
        <c:marker>
          <c:symbol val="none"/>
        </c:marker>
      </c:pivotFmt>
      <c:pivotFmt>
        <c:idx val="256"/>
        <c:marker>
          <c:symbol val="none"/>
        </c:marker>
      </c:pivotFmt>
      <c:pivotFmt>
        <c:idx val="257"/>
        <c:marker>
          <c:symbol val="none"/>
        </c:marker>
      </c:pivotFmt>
      <c:pivotFmt>
        <c:idx val="258"/>
        <c:marker>
          <c:symbol val="none"/>
        </c:marker>
      </c:pivotFmt>
      <c:pivotFmt>
        <c:idx val="259"/>
        <c:marker>
          <c:symbol val="none"/>
        </c:marker>
      </c:pivotFmt>
      <c:pivotFmt>
        <c:idx val="260"/>
        <c:marker>
          <c:symbol val="none"/>
        </c:marker>
      </c:pivotFmt>
      <c:pivotFmt>
        <c:idx val="261"/>
        <c:marker>
          <c:symbol val="none"/>
        </c:marker>
      </c:pivotFmt>
      <c:pivotFmt>
        <c:idx val="262"/>
        <c:marker>
          <c:symbol val="none"/>
        </c:marker>
      </c:pivotFmt>
      <c:pivotFmt>
        <c:idx val="263"/>
        <c:marker>
          <c:symbol val="none"/>
        </c:marker>
      </c:pivotFmt>
      <c:pivotFmt>
        <c:idx val="264"/>
        <c:marker>
          <c:symbol val="none"/>
        </c:marker>
      </c:pivotFmt>
      <c:pivotFmt>
        <c:idx val="265"/>
        <c:marker>
          <c:symbol val="none"/>
        </c:marker>
      </c:pivotFmt>
      <c:pivotFmt>
        <c:idx val="266"/>
        <c:marker>
          <c:symbol val="none"/>
        </c:marker>
      </c:pivotFmt>
      <c:pivotFmt>
        <c:idx val="267"/>
        <c:marker>
          <c:symbol val="none"/>
        </c:marker>
      </c:pivotFmt>
      <c:pivotFmt>
        <c:idx val="268"/>
        <c:marker>
          <c:symbol val="none"/>
        </c:marker>
      </c:pivotFmt>
      <c:pivotFmt>
        <c:idx val="269"/>
        <c:marker>
          <c:symbol val="none"/>
        </c:marker>
      </c:pivotFmt>
      <c:pivotFmt>
        <c:idx val="270"/>
        <c:marker>
          <c:symbol val="none"/>
        </c:marker>
      </c:pivotFmt>
      <c:pivotFmt>
        <c:idx val="271"/>
        <c:marker>
          <c:symbol val="none"/>
        </c:marker>
      </c:pivotFmt>
      <c:pivotFmt>
        <c:idx val="272"/>
        <c:marker>
          <c:symbol val="none"/>
        </c:marker>
      </c:pivotFmt>
      <c:pivotFmt>
        <c:idx val="273"/>
        <c:marker>
          <c:symbol val="none"/>
        </c:marker>
      </c:pivotFmt>
      <c:pivotFmt>
        <c:idx val="274"/>
        <c:marker>
          <c:symbol val="none"/>
        </c:marker>
      </c:pivotFmt>
      <c:pivotFmt>
        <c:idx val="275"/>
        <c:marker>
          <c:symbol val="none"/>
        </c:marker>
      </c:pivotFmt>
      <c:pivotFmt>
        <c:idx val="276"/>
        <c:marker>
          <c:symbol val="none"/>
        </c:marker>
      </c:pivotFmt>
      <c:pivotFmt>
        <c:idx val="277"/>
        <c:marker>
          <c:symbol val="none"/>
        </c:marker>
      </c:pivotFmt>
      <c:pivotFmt>
        <c:idx val="278"/>
        <c:marker>
          <c:symbol val="none"/>
        </c:marker>
      </c:pivotFmt>
      <c:pivotFmt>
        <c:idx val="279"/>
        <c:marker>
          <c:symbol val="none"/>
        </c:marker>
      </c:pivotFmt>
      <c:pivotFmt>
        <c:idx val="280"/>
        <c:marker>
          <c:symbol val="none"/>
        </c:marker>
      </c:pivotFmt>
      <c:pivotFmt>
        <c:idx val="281"/>
        <c:marker>
          <c:symbol val="none"/>
        </c:marker>
      </c:pivotFmt>
      <c:pivotFmt>
        <c:idx val="282"/>
        <c:marker>
          <c:symbol val="none"/>
        </c:marker>
      </c:pivotFmt>
      <c:pivotFmt>
        <c:idx val="283"/>
        <c:marker>
          <c:symbol val="none"/>
        </c:marker>
      </c:pivotFmt>
      <c:pivotFmt>
        <c:idx val="284"/>
        <c:marker>
          <c:symbol val="none"/>
        </c:marker>
      </c:pivotFmt>
      <c:pivotFmt>
        <c:idx val="285"/>
        <c:marker>
          <c:symbol val="none"/>
        </c:marker>
      </c:pivotFmt>
      <c:pivotFmt>
        <c:idx val="286"/>
        <c:marker>
          <c:symbol val="none"/>
        </c:marker>
      </c:pivotFmt>
      <c:pivotFmt>
        <c:idx val="287"/>
        <c:marker>
          <c:symbol val="none"/>
        </c:marker>
      </c:pivotFmt>
      <c:pivotFmt>
        <c:idx val="288"/>
        <c:marker>
          <c:symbol val="none"/>
        </c:marker>
      </c:pivotFmt>
      <c:pivotFmt>
        <c:idx val="289"/>
        <c:marker>
          <c:symbol val="none"/>
        </c:marker>
      </c:pivotFmt>
      <c:pivotFmt>
        <c:idx val="290"/>
        <c:marker>
          <c:symbol val="none"/>
        </c:marker>
      </c:pivotFmt>
      <c:pivotFmt>
        <c:idx val="291"/>
        <c:marker>
          <c:symbol val="none"/>
        </c:marker>
      </c:pivotFmt>
      <c:pivotFmt>
        <c:idx val="292"/>
        <c:marker>
          <c:symbol val="none"/>
        </c:marker>
      </c:pivotFmt>
      <c:pivotFmt>
        <c:idx val="293"/>
        <c:marker>
          <c:symbol val="none"/>
        </c:marker>
      </c:pivotFmt>
      <c:pivotFmt>
        <c:idx val="294"/>
        <c:marker>
          <c:symbol val="none"/>
        </c:marker>
      </c:pivotFmt>
      <c:pivotFmt>
        <c:idx val="295"/>
        <c:marker>
          <c:symbol val="none"/>
        </c:marker>
      </c:pivotFmt>
      <c:pivotFmt>
        <c:idx val="296"/>
        <c:marker>
          <c:symbol val="none"/>
        </c:marker>
      </c:pivotFmt>
      <c:pivotFmt>
        <c:idx val="297"/>
        <c:marker>
          <c:symbol val="none"/>
        </c:marker>
      </c:pivotFmt>
      <c:pivotFmt>
        <c:idx val="298"/>
        <c:marker>
          <c:symbol val="none"/>
        </c:marker>
      </c:pivotFmt>
      <c:pivotFmt>
        <c:idx val="299"/>
        <c:marker>
          <c:symbol val="none"/>
        </c:marker>
      </c:pivotFmt>
      <c:pivotFmt>
        <c:idx val="300"/>
        <c:marker>
          <c:symbol val="none"/>
        </c:marker>
      </c:pivotFmt>
      <c:pivotFmt>
        <c:idx val="301"/>
        <c:marker>
          <c:symbol val="none"/>
        </c:marker>
      </c:pivotFmt>
      <c:pivotFmt>
        <c:idx val="302"/>
        <c:marker>
          <c:symbol val="none"/>
        </c:marker>
      </c:pivotFmt>
      <c:pivotFmt>
        <c:idx val="303"/>
        <c:marker>
          <c:symbol val="none"/>
        </c:marker>
      </c:pivotFmt>
      <c:pivotFmt>
        <c:idx val="304"/>
        <c:marker>
          <c:symbol val="none"/>
        </c:marker>
      </c:pivotFmt>
      <c:pivotFmt>
        <c:idx val="305"/>
        <c:marker>
          <c:symbol val="none"/>
        </c:marker>
      </c:pivotFmt>
      <c:pivotFmt>
        <c:idx val="306"/>
        <c:marker>
          <c:symbol val="none"/>
        </c:marker>
      </c:pivotFmt>
      <c:pivotFmt>
        <c:idx val="307"/>
        <c:marker>
          <c:symbol val="none"/>
        </c:marker>
      </c:pivotFmt>
      <c:pivotFmt>
        <c:idx val="308"/>
        <c:marker>
          <c:symbol val="none"/>
        </c:marker>
      </c:pivotFmt>
      <c:pivotFmt>
        <c:idx val="309"/>
        <c:marker>
          <c:symbol val="none"/>
        </c:marker>
      </c:pivotFmt>
      <c:pivotFmt>
        <c:idx val="310"/>
        <c:marker>
          <c:symbol val="none"/>
        </c:marker>
      </c:pivotFmt>
      <c:pivotFmt>
        <c:idx val="311"/>
        <c:marker>
          <c:symbol val="none"/>
        </c:marker>
      </c:pivotFmt>
      <c:pivotFmt>
        <c:idx val="312"/>
        <c:marker>
          <c:symbol val="none"/>
        </c:marker>
      </c:pivotFmt>
      <c:pivotFmt>
        <c:idx val="313"/>
        <c:marker>
          <c:symbol val="none"/>
        </c:marker>
      </c:pivotFmt>
      <c:pivotFmt>
        <c:idx val="314"/>
        <c:marker>
          <c:symbol val="none"/>
        </c:marker>
      </c:pivotFmt>
      <c:pivotFmt>
        <c:idx val="315"/>
        <c:marker>
          <c:symbol val="none"/>
        </c:marker>
      </c:pivotFmt>
      <c:pivotFmt>
        <c:idx val="316"/>
        <c:marker>
          <c:symbol val="none"/>
        </c:marker>
      </c:pivotFmt>
      <c:pivotFmt>
        <c:idx val="317"/>
        <c:marker>
          <c:symbol val="none"/>
        </c:marker>
      </c:pivotFmt>
      <c:pivotFmt>
        <c:idx val="318"/>
        <c:marker>
          <c:symbol val="none"/>
        </c:marker>
      </c:pivotFmt>
      <c:pivotFmt>
        <c:idx val="319"/>
        <c:marker>
          <c:symbol val="none"/>
        </c:marker>
      </c:pivotFmt>
      <c:pivotFmt>
        <c:idx val="320"/>
        <c:marker>
          <c:symbol val="none"/>
        </c:marker>
      </c:pivotFmt>
      <c:pivotFmt>
        <c:idx val="321"/>
        <c:marker>
          <c:symbol val="none"/>
        </c:marker>
      </c:pivotFmt>
      <c:pivotFmt>
        <c:idx val="322"/>
        <c:marker>
          <c:symbol val="none"/>
        </c:marker>
      </c:pivotFmt>
      <c:pivotFmt>
        <c:idx val="323"/>
        <c:marker>
          <c:symbol val="none"/>
        </c:marker>
      </c:pivotFmt>
      <c:pivotFmt>
        <c:idx val="324"/>
        <c:marker>
          <c:symbol val="none"/>
        </c:marker>
      </c:pivotFmt>
      <c:pivotFmt>
        <c:idx val="325"/>
        <c:marker>
          <c:symbol val="none"/>
        </c:marker>
      </c:pivotFmt>
      <c:pivotFmt>
        <c:idx val="326"/>
        <c:marker>
          <c:symbol val="none"/>
        </c:marker>
      </c:pivotFmt>
      <c:pivotFmt>
        <c:idx val="327"/>
        <c:marker>
          <c:symbol val="none"/>
        </c:marker>
      </c:pivotFmt>
      <c:pivotFmt>
        <c:idx val="328"/>
        <c:marker>
          <c:symbol val="none"/>
        </c:marker>
      </c:pivotFmt>
      <c:pivotFmt>
        <c:idx val="329"/>
        <c:marker>
          <c:symbol val="none"/>
        </c:marker>
      </c:pivotFmt>
      <c:pivotFmt>
        <c:idx val="330"/>
        <c:marker>
          <c:symbol val="none"/>
        </c:marker>
      </c:pivotFmt>
      <c:pivotFmt>
        <c:idx val="331"/>
        <c:marker>
          <c:symbol val="none"/>
        </c:marker>
      </c:pivotFmt>
      <c:pivotFmt>
        <c:idx val="332"/>
        <c:marker>
          <c:symbol val="none"/>
        </c:marker>
      </c:pivotFmt>
      <c:pivotFmt>
        <c:idx val="333"/>
        <c:marker>
          <c:symbol val="none"/>
        </c:marker>
      </c:pivotFmt>
      <c:pivotFmt>
        <c:idx val="334"/>
        <c:marker>
          <c:symbol val="none"/>
        </c:marker>
      </c:pivotFmt>
      <c:pivotFmt>
        <c:idx val="335"/>
        <c:marker>
          <c:symbol val="none"/>
        </c:marker>
      </c:pivotFmt>
      <c:pivotFmt>
        <c:idx val="336"/>
        <c:marker>
          <c:symbol val="none"/>
        </c:marker>
      </c:pivotFmt>
      <c:pivotFmt>
        <c:idx val="337"/>
        <c:marker>
          <c:symbol val="none"/>
        </c:marker>
      </c:pivotFmt>
      <c:pivotFmt>
        <c:idx val="338"/>
        <c:marker>
          <c:symbol val="none"/>
        </c:marker>
      </c:pivotFmt>
      <c:pivotFmt>
        <c:idx val="339"/>
        <c:marker>
          <c:symbol val="none"/>
        </c:marker>
      </c:pivotFmt>
      <c:pivotFmt>
        <c:idx val="340"/>
        <c:marker>
          <c:symbol val="none"/>
        </c:marker>
      </c:pivotFmt>
      <c:pivotFmt>
        <c:idx val="341"/>
        <c:marker>
          <c:symbol val="none"/>
        </c:marker>
      </c:pivotFmt>
      <c:pivotFmt>
        <c:idx val="342"/>
        <c:marker>
          <c:symbol val="none"/>
        </c:marker>
      </c:pivotFmt>
      <c:pivotFmt>
        <c:idx val="343"/>
        <c:marker>
          <c:symbol val="none"/>
        </c:marker>
      </c:pivotFmt>
      <c:pivotFmt>
        <c:idx val="344"/>
        <c:marker>
          <c:symbol val="none"/>
        </c:marker>
      </c:pivotFmt>
      <c:pivotFmt>
        <c:idx val="345"/>
        <c:marker>
          <c:symbol val="none"/>
        </c:marker>
      </c:pivotFmt>
      <c:pivotFmt>
        <c:idx val="346"/>
        <c:marker>
          <c:symbol val="none"/>
        </c:marker>
      </c:pivotFmt>
      <c:pivotFmt>
        <c:idx val="347"/>
        <c:marker>
          <c:symbol val="none"/>
        </c:marker>
      </c:pivotFmt>
      <c:pivotFmt>
        <c:idx val="348"/>
        <c:marker>
          <c:symbol val="none"/>
        </c:marker>
      </c:pivotFmt>
      <c:pivotFmt>
        <c:idx val="349"/>
        <c:marker>
          <c:symbol val="none"/>
        </c:marker>
      </c:pivotFmt>
      <c:pivotFmt>
        <c:idx val="350"/>
        <c:marker>
          <c:symbol val="none"/>
        </c:marker>
      </c:pivotFmt>
      <c:pivotFmt>
        <c:idx val="351"/>
        <c:marker>
          <c:symbol val="none"/>
        </c:marker>
      </c:pivotFmt>
      <c:pivotFmt>
        <c:idx val="352"/>
        <c:marker>
          <c:symbol val="none"/>
        </c:marker>
      </c:pivotFmt>
      <c:pivotFmt>
        <c:idx val="353"/>
        <c:marker>
          <c:symbol val="none"/>
        </c:marker>
      </c:pivotFmt>
      <c:pivotFmt>
        <c:idx val="354"/>
        <c:marker>
          <c:symbol val="none"/>
        </c:marker>
      </c:pivotFmt>
      <c:pivotFmt>
        <c:idx val="355"/>
        <c:marker>
          <c:symbol val="none"/>
        </c:marker>
      </c:pivotFmt>
      <c:pivotFmt>
        <c:idx val="356"/>
        <c:marker>
          <c:symbol val="none"/>
        </c:marker>
      </c:pivotFmt>
      <c:pivotFmt>
        <c:idx val="357"/>
        <c:marker>
          <c:symbol val="none"/>
        </c:marker>
      </c:pivotFmt>
      <c:pivotFmt>
        <c:idx val="358"/>
        <c:marker>
          <c:symbol val="none"/>
        </c:marker>
      </c:pivotFmt>
      <c:pivotFmt>
        <c:idx val="359"/>
        <c:marker>
          <c:symbol val="none"/>
        </c:marker>
      </c:pivotFmt>
      <c:pivotFmt>
        <c:idx val="360"/>
        <c:marker>
          <c:symbol val="none"/>
        </c:marker>
      </c:pivotFmt>
      <c:pivotFmt>
        <c:idx val="361"/>
        <c:marker>
          <c:symbol val="none"/>
        </c:marker>
      </c:pivotFmt>
      <c:pivotFmt>
        <c:idx val="362"/>
        <c:marker>
          <c:symbol val="none"/>
        </c:marker>
      </c:pivotFmt>
      <c:pivotFmt>
        <c:idx val="363"/>
        <c:marker>
          <c:symbol val="none"/>
        </c:marker>
      </c:pivotFmt>
      <c:pivotFmt>
        <c:idx val="364"/>
        <c:marker>
          <c:symbol val="none"/>
        </c:marker>
      </c:pivotFmt>
      <c:pivotFmt>
        <c:idx val="365"/>
        <c:marker>
          <c:symbol val="none"/>
        </c:marker>
      </c:pivotFmt>
      <c:pivotFmt>
        <c:idx val="366"/>
        <c:marker>
          <c:symbol val="none"/>
        </c:marker>
      </c:pivotFmt>
      <c:pivotFmt>
        <c:idx val="367"/>
        <c:marker>
          <c:symbol val="none"/>
        </c:marker>
      </c:pivotFmt>
      <c:pivotFmt>
        <c:idx val="368"/>
        <c:marker>
          <c:symbol val="none"/>
        </c:marker>
      </c:pivotFmt>
      <c:pivotFmt>
        <c:idx val="369"/>
        <c:marker>
          <c:symbol val="none"/>
        </c:marker>
      </c:pivotFmt>
      <c:pivotFmt>
        <c:idx val="370"/>
        <c:marker>
          <c:symbol val="none"/>
        </c:marker>
      </c:pivotFmt>
      <c:pivotFmt>
        <c:idx val="371"/>
        <c:marker>
          <c:symbol val="none"/>
        </c:marker>
      </c:pivotFmt>
      <c:pivotFmt>
        <c:idx val="372"/>
        <c:marker>
          <c:symbol val="none"/>
        </c:marker>
      </c:pivotFmt>
      <c:pivotFmt>
        <c:idx val="373"/>
        <c:marker>
          <c:symbol val="none"/>
        </c:marker>
      </c:pivotFmt>
      <c:pivotFmt>
        <c:idx val="374"/>
        <c:marker>
          <c:symbol val="none"/>
        </c:marker>
      </c:pivotFmt>
      <c:pivotFmt>
        <c:idx val="375"/>
        <c:marker>
          <c:symbol val="none"/>
        </c:marker>
      </c:pivotFmt>
      <c:pivotFmt>
        <c:idx val="376"/>
        <c:marker>
          <c:symbol val="none"/>
        </c:marker>
      </c:pivotFmt>
      <c:pivotFmt>
        <c:idx val="377"/>
        <c:marker>
          <c:symbol val="none"/>
        </c:marker>
      </c:pivotFmt>
      <c:pivotFmt>
        <c:idx val="378"/>
        <c:marker>
          <c:symbol val="none"/>
        </c:marker>
      </c:pivotFmt>
      <c:pivotFmt>
        <c:idx val="379"/>
        <c:marker>
          <c:symbol val="none"/>
        </c:marker>
      </c:pivotFmt>
      <c:pivotFmt>
        <c:idx val="380"/>
        <c:marker>
          <c:symbol val="none"/>
        </c:marker>
      </c:pivotFmt>
      <c:pivotFmt>
        <c:idx val="381"/>
        <c:marker>
          <c:symbol val="none"/>
        </c:marker>
      </c:pivotFmt>
      <c:pivotFmt>
        <c:idx val="382"/>
        <c:marker>
          <c:symbol val="none"/>
        </c:marker>
      </c:pivotFmt>
      <c:pivotFmt>
        <c:idx val="383"/>
        <c:marker>
          <c:symbol val="none"/>
        </c:marker>
      </c:pivotFmt>
      <c:pivotFmt>
        <c:idx val="384"/>
        <c:marker>
          <c:symbol val="none"/>
        </c:marker>
      </c:pivotFmt>
      <c:pivotFmt>
        <c:idx val="385"/>
        <c:marker>
          <c:symbol val="none"/>
        </c:marker>
      </c:pivotFmt>
      <c:pivotFmt>
        <c:idx val="386"/>
        <c:marker>
          <c:symbol val="none"/>
        </c:marker>
      </c:pivotFmt>
      <c:pivotFmt>
        <c:idx val="387"/>
        <c:marker>
          <c:symbol val="none"/>
        </c:marker>
      </c:pivotFmt>
      <c:pivotFmt>
        <c:idx val="388"/>
        <c:marker>
          <c:symbol val="none"/>
        </c:marker>
      </c:pivotFmt>
      <c:pivotFmt>
        <c:idx val="389"/>
        <c:marker>
          <c:symbol val="none"/>
        </c:marker>
      </c:pivotFmt>
      <c:pivotFmt>
        <c:idx val="390"/>
        <c:marker>
          <c:symbol val="none"/>
        </c:marker>
      </c:pivotFmt>
      <c:pivotFmt>
        <c:idx val="391"/>
        <c:marker>
          <c:symbol val="none"/>
        </c:marker>
      </c:pivotFmt>
      <c:pivotFmt>
        <c:idx val="392"/>
        <c:marker>
          <c:symbol val="none"/>
        </c:marker>
      </c:pivotFmt>
      <c:pivotFmt>
        <c:idx val="393"/>
        <c:marker>
          <c:symbol val="none"/>
        </c:marker>
      </c:pivotFmt>
      <c:pivotFmt>
        <c:idx val="394"/>
        <c:marker>
          <c:symbol val="none"/>
        </c:marker>
      </c:pivotFmt>
      <c:pivotFmt>
        <c:idx val="395"/>
        <c:marker>
          <c:symbol val="none"/>
        </c:marker>
      </c:pivotFmt>
      <c:pivotFmt>
        <c:idx val="396"/>
        <c:marker>
          <c:symbol val="none"/>
        </c:marker>
      </c:pivotFmt>
      <c:pivotFmt>
        <c:idx val="397"/>
        <c:marker>
          <c:symbol val="none"/>
        </c:marker>
      </c:pivotFmt>
      <c:pivotFmt>
        <c:idx val="398"/>
        <c:marker>
          <c:symbol val="none"/>
        </c:marker>
      </c:pivotFmt>
      <c:pivotFmt>
        <c:idx val="399"/>
        <c:marker>
          <c:symbol val="none"/>
        </c:marker>
      </c:pivotFmt>
      <c:pivotFmt>
        <c:idx val="400"/>
        <c:marker>
          <c:symbol val="none"/>
        </c:marker>
      </c:pivotFmt>
      <c:pivotFmt>
        <c:idx val="401"/>
        <c:marker>
          <c:symbol val="none"/>
        </c:marker>
      </c:pivotFmt>
      <c:pivotFmt>
        <c:idx val="402"/>
        <c:marker>
          <c:symbol val="none"/>
        </c:marker>
      </c:pivotFmt>
      <c:pivotFmt>
        <c:idx val="403"/>
        <c:marker>
          <c:symbol val="none"/>
        </c:marker>
      </c:pivotFmt>
      <c:pivotFmt>
        <c:idx val="404"/>
        <c:marker>
          <c:symbol val="none"/>
        </c:marker>
      </c:pivotFmt>
      <c:pivotFmt>
        <c:idx val="405"/>
        <c:marker>
          <c:symbol val="none"/>
        </c:marker>
      </c:pivotFmt>
      <c:pivotFmt>
        <c:idx val="406"/>
        <c:marker>
          <c:symbol val="none"/>
        </c:marker>
      </c:pivotFmt>
      <c:pivotFmt>
        <c:idx val="407"/>
        <c:marker>
          <c:symbol val="none"/>
        </c:marker>
      </c:pivotFmt>
      <c:pivotFmt>
        <c:idx val="408"/>
        <c:marker>
          <c:symbol val="none"/>
        </c:marker>
      </c:pivotFmt>
      <c:pivotFmt>
        <c:idx val="409"/>
        <c:marker>
          <c:symbol val="none"/>
        </c:marker>
      </c:pivotFmt>
      <c:pivotFmt>
        <c:idx val="410"/>
        <c:marker>
          <c:symbol val="none"/>
        </c:marker>
      </c:pivotFmt>
      <c:pivotFmt>
        <c:idx val="411"/>
        <c:marker>
          <c:symbol val="none"/>
        </c:marker>
      </c:pivotFmt>
      <c:pivotFmt>
        <c:idx val="412"/>
        <c:marker>
          <c:symbol val="none"/>
        </c:marker>
      </c:pivotFmt>
      <c:pivotFmt>
        <c:idx val="413"/>
        <c:marker>
          <c:symbol val="none"/>
        </c:marker>
      </c:pivotFmt>
      <c:pivotFmt>
        <c:idx val="414"/>
        <c:marker>
          <c:symbol val="none"/>
        </c:marker>
      </c:pivotFmt>
      <c:pivotFmt>
        <c:idx val="415"/>
        <c:marker>
          <c:symbol val="none"/>
        </c:marker>
      </c:pivotFmt>
      <c:pivotFmt>
        <c:idx val="416"/>
        <c:marker>
          <c:symbol val="none"/>
        </c:marker>
      </c:pivotFmt>
      <c:pivotFmt>
        <c:idx val="417"/>
        <c:marker>
          <c:symbol val="none"/>
        </c:marker>
      </c:pivotFmt>
      <c:pivotFmt>
        <c:idx val="418"/>
        <c:marker>
          <c:symbol val="none"/>
        </c:marker>
      </c:pivotFmt>
      <c:pivotFmt>
        <c:idx val="419"/>
        <c:marker>
          <c:symbol val="none"/>
        </c:marker>
      </c:pivotFmt>
      <c:pivotFmt>
        <c:idx val="420"/>
        <c:marker>
          <c:symbol val="none"/>
        </c:marker>
      </c:pivotFmt>
      <c:pivotFmt>
        <c:idx val="421"/>
        <c:marker>
          <c:symbol val="none"/>
        </c:marker>
      </c:pivotFmt>
      <c:pivotFmt>
        <c:idx val="422"/>
        <c:marker>
          <c:symbol val="none"/>
        </c:marker>
      </c:pivotFmt>
      <c:pivotFmt>
        <c:idx val="423"/>
        <c:marker>
          <c:symbol val="none"/>
        </c:marker>
      </c:pivotFmt>
      <c:pivotFmt>
        <c:idx val="424"/>
        <c:marker>
          <c:symbol val="none"/>
        </c:marker>
      </c:pivotFmt>
      <c:pivotFmt>
        <c:idx val="425"/>
        <c:marker>
          <c:symbol val="none"/>
        </c:marker>
      </c:pivotFmt>
      <c:pivotFmt>
        <c:idx val="426"/>
        <c:marker>
          <c:symbol val="none"/>
        </c:marker>
      </c:pivotFmt>
      <c:pivotFmt>
        <c:idx val="427"/>
        <c:marker>
          <c:symbol val="none"/>
        </c:marker>
      </c:pivotFmt>
      <c:pivotFmt>
        <c:idx val="428"/>
        <c:marker>
          <c:symbol val="none"/>
        </c:marker>
      </c:pivotFmt>
      <c:pivotFmt>
        <c:idx val="429"/>
        <c:marker>
          <c:symbol val="none"/>
        </c:marker>
      </c:pivotFmt>
      <c:pivotFmt>
        <c:idx val="430"/>
        <c:marker>
          <c:symbol val="none"/>
        </c:marker>
      </c:pivotFmt>
      <c:pivotFmt>
        <c:idx val="431"/>
        <c:marker>
          <c:symbol val="none"/>
        </c:marker>
      </c:pivotFmt>
      <c:pivotFmt>
        <c:idx val="432"/>
        <c:marker>
          <c:symbol val="none"/>
        </c:marker>
      </c:pivotFmt>
      <c:pivotFmt>
        <c:idx val="433"/>
        <c:marker>
          <c:symbol val="none"/>
        </c:marker>
      </c:pivotFmt>
      <c:pivotFmt>
        <c:idx val="434"/>
        <c:marker>
          <c:symbol val="none"/>
        </c:marker>
      </c:pivotFmt>
      <c:pivotFmt>
        <c:idx val="435"/>
        <c:marker>
          <c:symbol val="none"/>
        </c:marker>
      </c:pivotFmt>
      <c:pivotFmt>
        <c:idx val="436"/>
        <c:marker>
          <c:symbol val="none"/>
        </c:marker>
      </c:pivotFmt>
      <c:pivotFmt>
        <c:idx val="437"/>
        <c:marker>
          <c:symbol val="none"/>
        </c:marker>
      </c:pivotFmt>
      <c:pivotFmt>
        <c:idx val="438"/>
        <c:marker>
          <c:symbol val="none"/>
        </c:marker>
      </c:pivotFmt>
      <c:pivotFmt>
        <c:idx val="439"/>
        <c:marker>
          <c:symbol val="none"/>
        </c:marker>
      </c:pivotFmt>
      <c:pivotFmt>
        <c:idx val="440"/>
        <c:marker>
          <c:symbol val="none"/>
        </c:marker>
      </c:pivotFmt>
      <c:pivotFmt>
        <c:idx val="441"/>
        <c:marker>
          <c:symbol val="none"/>
        </c:marker>
      </c:pivotFmt>
      <c:pivotFmt>
        <c:idx val="442"/>
        <c:marker>
          <c:symbol val="none"/>
        </c:marker>
      </c:pivotFmt>
      <c:pivotFmt>
        <c:idx val="443"/>
        <c:marker>
          <c:symbol val="none"/>
        </c:marker>
      </c:pivotFmt>
      <c:pivotFmt>
        <c:idx val="444"/>
        <c:marker>
          <c:symbol val="none"/>
        </c:marker>
      </c:pivotFmt>
      <c:pivotFmt>
        <c:idx val="445"/>
        <c:marker>
          <c:symbol val="none"/>
        </c:marker>
      </c:pivotFmt>
      <c:pivotFmt>
        <c:idx val="446"/>
        <c:marker>
          <c:symbol val="none"/>
        </c:marker>
      </c:pivotFmt>
      <c:pivotFmt>
        <c:idx val="447"/>
        <c:marker>
          <c:symbol val="none"/>
        </c:marker>
      </c:pivotFmt>
      <c:pivotFmt>
        <c:idx val="448"/>
        <c:marker>
          <c:symbol val="none"/>
        </c:marker>
      </c:pivotFmt>
      <c:pivotFmt>
        <c:idx val="449"/>
        <c:marker>
          <c:symbol val="none"/>
        </c:marker>
      </c:pivotFmt>
      <c:pivotFmt>
        <c:idx val="450"/>
        <c:marker>
          <c:symbol val="none"/>
        </c:marker>
      </c:pivotFmt>
      <c:pivotFmt>
        <c:idx val="451"/>
        <c:marker>
          <c:symbol val="none"/>
        </c:marker>
      </c:pivotFmt>
      <c:pivotFmt>
        <c:idx val="452"/>
        <c:marker>
          <c:symbol val="none"/>
        </c:marker>
      </c:pivotFmt>
      <c:pivotFmt>
        <c:idx val="453"/>
        <c:marker>
          <c:symbol val="none"/>
        </c:marker>
      </c:pivotFmt>
      <c:pivotFmt>
        <c:idx val="454"/>
        <c:marker>
          <c:symbol val="none"/>
        </c:marker>
      </c:pivotFmt>
      <c:pivotFmt>
        <c:idx val="455"/>
        <c:marker>
          <c:symbol val="none"/>
        </c:marker>
      </c:pivotFmt>
      <c:pivotFmt>
        <c:idx val="456"/>
        <c:marker>
          <c:symbol val="none"/>
        </c:marker>
      </c:pivotFmt>
      <c:pivotFmt>
        <c:idx val="457"/>
        <c:marker>
          <c:symbol val="none"/>
        </c:marker>
      </c:pivotFmt>
      <c:pivotFmt>
        <c:idx val="458"/>
        <c:marker>
          <c:symbol val="none"/>
        </c:marker>
      </c:pivotFmt>
      <c:pivotFmt>
        <c:idx val="459"/>
        <c:marker>
          <c:symbol val="none"/>
        </c:marker>
      </c:pivotFmt>
      <c:pivotFmt>
        <c:idx val="460"/>
        <c:marker>
          <c:symbol val="none"/>
        </c:marker>
      </c:pivotFmt>
      <c:pivotFmt>
        <c:idx val="461"/>
        <c:marker>
          <c:symbol val="none"/>
        </c:marker>
      </c:pivotFmt>
      <c:pivotFmt>
        <c:idx val="462"/>
        <c:marker>
          <c:symbol val="none"/>
        </c:marker>
      </c:pivotFmt>
      <c:pivotFmt>
        <c:idx val="463"/>
        <c:marker>
          <c:symbol val="none"/>
        </c:marker>
      </c:pivotFmt>
      <c:pivotFmt>
        <c:idx val="464"/>
        <c:marker>
          <c:symbol val="none"/>
        </c:marker>
      </c:pivotFmt>
      <c:pivotFmt>
        <c:idx val="465"/>
        <c:marker>
          <c:symbol val="none"/>
        </c:marker>
      </c:pivotFmt>
      <c:pivotFmt>
        <c:idx val="466"/>
        <c:marker>
          <c:symbol val="none"/>
        </c:marker>
      </c:pivotFmt>
      <c:pivotFmt>
        <c:idx val="467"/>
        <c:marker>
          <c:symbol val="none"/>
        </c:marker>
      </c:pivotFmt>
      <c:pivotFmt>
        <c:idx val="468"/>
        <c:marker>
          <c:symbol val="none"/>
        </c:marker>
      </c:pivotFmt>
      <c:pivotFmt>
        <c:idx val="469"/>
        <c:marker>
          <c:symbol val="none"/>
        </c:marker>
      </c:pivotFmt>
      <c:pivotFmt>
        <c:idx val="470"/>
        <c:marker>
          <c:symbol val="none"/>
        </c:marker>
      </c:pivotFmt>
      <c:pivotFmt>
        <c:idx val="471"/>
        <c:marker>
          <c:symbol val="none"/>
        </c:marker>
      </c:pivotFmt>
      <c:pivotFmt>
        <c:idx val="472"/>
        <c:marker>
          <c:symbol val="none"/>
        </c:marker>
      </c:pivotFmt>
      <c:pivotFmt>
        <c:idx val="473"/>
        <c:marker>
          <c:symbol val="none"/>
        </c:marker>
      </c:pivotFmt>
      <c:pivotFmt>
        <c:idx val="474"/>
        <c:marker>
          <c:symbol val="none"/>
        </c:marker>
      </c:pivotFmt>
      <c:pivotFmt>
        <c:idx val="475"/>
        <c:marker>
          <c:symbol val="none"/>
        </c:marker>
      </c:pivotFmt>
      <c:pivotFmt>
        <c:idx val="476"/>
        <c:marker>
          <c:symbol val="none"/>
        </c:marker>
      </c:pivotFmt>
      <c:pivotFmt>
        <c:idx val="477"/>
        <c:marker>
          <c:symbol val="none"/>
        </c:marker>
      </c:pivotFmt>
      <c:pivotFmt>
        <c:idx val="478"/>
        <c:marker>
          <c:symbol val="none"/>
        </c:marker>
      </c:pivotFmt>
      <c:pivotFmt>
        <c:idx val="479"/>
        <c:marker>
          <c:symbol val="none"/>
        </c:marker>
      </c:pivotFmt>
      <c:pivotFmt>
        <c:idx val="480"/>
        <c:marker>
          <c:symbol val="none"/>
        </c:marker>
      </c:pivotFmt>
      <c:pivotFmt>
        <c:idx val="481"/>
        <c:marker>
          <c:symbol val="none"/>
        </c:marker>
      </c:pivotFmt>
      <c:pivotFmt>
        <c:idx val="482"/>
        <c:marker>
          <c:symbol val="none"/>
        </c:marker>
      </c:pivotFmt>
      <c:pivotFmt>
        <c:idx val="483"/>
        <c:marker>
          <c:symbol val="none"/>
        </c:marker>
      </c:pivotFmt>
      <c:pivotFmt>
        <c:idx val="484"/>
        <c:marker>
          <c:symbol val="none"/>
        </c:marker>
      </c:pivotFmt>
      <c:pivotFmt>
        <c:idx val="485"/>
        <c:marker>
          <c:symbol val="none"/>
        </c:marker>
      </c:pivotFmt>
      <c:pivotFmt>
        <c:idx val="486"/>
        <c:marker>
          <c:symbol val="none"/>
        </c:marker>
      </c:pivotFmt>
      <c:pivotFmt>
        <c:idx val="487"/>
        <c:marker>
          <c:symbol val="none"/>
        </c:marker>
      </c:pivotFmt>
      <c:pivotFmt>
        <c:idx val="488"/>
        <c:marker>
          <c:symbol val="none"/>
        </c:marker>
      </c:pivotFmt>
      <c:pivotFmt>
        <c:idx val="489"/>
        <c:marker>
          <c:symbol val="none"/>
        </c:marker>
      </c:pivotFmt>
      <c:pivotFmt>
        <c:idx val="490"/>
        <c:marker>
          <c:symbol val="none"/>
        </c:marker>
      </c:pivotFmt>
      <c:pivotFmt>
        <c:idx val="491"/>
        <c:marker>
          <c:symbol val="none"/>
        </c:marker>
      </c:pivotFmt>
      <c:pivotFmt>
        <c:idx val="492"/>
        <c:marker>
          <c:symbol val="none"/>
        </c:marker>
      </c:pivotFmt>
      <c:pivotFmt>
        <c:idx val="493"/>
        <c:marker>
          <c:symbol val="none"/>
        </c:marker>
      </c:pivotFmt>
      <c:pivotFmt>
        <c:idx val="494"/>
        <c:marker>
          <c:symbol val="none"/>
        </c:marker>
      </c:pivotFmt>
      <c:pivotFmt>
        <c:idx val="495"/>
        <c:marker>
          <c:symbol val="none"/>
        </c:marker>
      </c:pivotFmt>
      <c:pivotFmt>
        <c:idx val="496"/>
        <c:marker>
          <c:symbol val="none"/>
        </c:marker>
      </c:pivotFmt>
      <c:pivotFmt>
        <c:idx val="497"/>
        <c:marker>
          <c:symbol val="none"/>
        </c:marker>
      </c:pivotFmt>
      <c:pivotFmt>
        <c:idx val="498"/>
        <c:marker>
          <c:symbol val="none"/>
        </c:marker>
      </c:pivotFmt>
      <c:pivotFmt>
        <c:idx val="499"/>
        <c:marker>
          <c:symbol val="none"/>
        </c:marker>
      </c:pivotFmt>
      <c:pivotFmt>
        <c:idx val="500"/>
        <c:marker>
          <c:symbol val="none"/>
        </c:marker>
      </c:pivotFmt>
      <c:pivotFmt>
        <c:idx val="501"/>
        <c:marker>
          <c:symbol val="none"/>
        </c:marker>
      </c:pivotFmt>
      <c:pivotFmt>
        <c:idx val="502"/>
        <c:marker>
          <c:symbol val="none"/>
        </c:marker>
      </c:pivotFmt>
      <c:pivotFmt>
        <c:idx val="503"/>
        <c:marker>
          <c:symbol val="none"/>
        </c:marker>
      </c:pivotFmt>
      <c:pivotFmt>
        <c:idx val="504"/>
        <c:marker>
          <c:symbol val="none"/>
        </c:marker>
      </c:pivotFmt>
      <c:pivotFmt>
        <c:idx val="505"/>
        <c:marker>
          <c:symbol val="none"/>
        </c:marker>
      </c:pivotFmt>
      <c:pivotFmt>
        <c:idx val="506"/>
        <c:marker>
          <c:symbol val="none"/>
        </c:marker>
      </c:pivotFmt>
      <c:pivotFmt>
        <c:idx val="507"/>
        <c:marker>
          <c:symbol val="none"/>
        </c:marker>
      </c:pivotFmt>
      <c:pivotFmt>
        <c:idx val="508"/>
        <c:marker>
          <c:symbol val="none"/>
        </c:marker>
      </c:pivotFmt>
      <c:pivotFmt>
        <c:idx val="509"/>
        <c:marker>
          <c:symbol val="none"/>
        </c:marker>
      </c:pivotFmt>
      <c:pivotFmt>
        <c:idx val="510"/>
        <c:marker>
          <c:symbol val="none"/>
        </c:marker>
      </c:pivotFmt>
      <c:pivotFmt>
        <c:idx val="511"/>
        <c:marker>
          <c:symbol val="none"/>
        </c:marker>
      </c:pivotFmt>
      <c:pivotFmt>
        <c:idx val="512"/>
        <c:marker>
          <c:symbol val="none"/>
        </c:marker>
      </c:pivotFmt>
      <c:pivotFmt>
        <c:idx val="513"/>
        <c:marker>
          <c:symbol val="none"/>
        </c:marker>
      </c:pivotFmt>
      <c:pivotFmt>
        <c:idx val="514"/>
        <c:marker>
          <c:symbol val="none"/>
        </c:marker>
      </c:pivotFmt>
      <c:pivotFmt>
        <c:idx val="515"/>
        <c:marker>
          <c:symbol val="none"/>
        </c:marker>
      </c:pivotFmt>
      <c:pivotFmt>
        <c:idx val="516"/>
        <c:marker>
          <c:symbol val="none"/>
        </c:marker>
      </c:pivotFmt>
      <c:pivotFmt>
        <c:idx val="517"/>
        <c:marker>
          <c:symbol val="none"/>
        </c:marker>
      </c:pivotFmt>
      <c:pivotFmt>
        <c:idx val="518"/>
        <c:marker>
          <c:symbol val="none"/>
        </c:marker>
      </c:pivotFmt>
      <c:pivotFmt>
        <c:idx val="519"/>
        <c:marker>
          <c:symbol val="none"/>
        </c:marker>
      </c:pivotFmt>
      <c:pivotFmt>
        <c:idx val="520"/>
        <c:marker>
          <c:symbol val="none"/>
        </c:marker>
      </c:pivotFmt>
      <c:pivotFmt>
        <c:idx val="521"/>
        <c:marker>
          <c:symbol val="none"/>
        </c:marker>
      </c:pivotFmt>
      <c:pivotFmt>
        <c:idx val="522"/>
        <c:marker>
          <c:symbol val="none"/>
        </c:marker>
      </c:pivotFmt>
      <c:pivotFmt>
        <c:idx val="523"/>
        <c:marker>
          <c:symbol val="none"/>
        </c:marker>
      </c:pivotFmt>
      <c:pivotFmt>
        <c:idx val="524"/>
        <c:marker>
          <c:symbol val="none"/>
        </c:marker>
      </c:pivotFmt>
      <c:pivotFmt>
        <c:idx val="525"/>
        <c:marker>
          <c:symbol val="none"/>
        </c:marker>
      </c:pivotFmt>
      <c:pivotFmt>
        <c:idx val="526"/>
        <c:marker>
          <c:symbol val="none"/>
        </c:marker>
      </c:pivotFmt>
      <c:pivotFmt>
        <c:idx val="527"/>
        <c:marker>
          <c:symbol val="none"/>
        </c:marker>
      </c:pivotFmt>
      <c:pivotFmt>
        <c:idx val="528"/>
        <c:marker>
          <c:symbol val="none"/>
        </c:marker>
      </c:pivotFmt>
      <c:pivotFmt>
        <c:idx val="529"/>
        <c:marker>
          <c:symbol val="none"/>
        </c:marker>
      </c:pivotFmt>
      <c:pivotFmt>
        <c:idx val="530"/>
        <c:marker>
          <c:symbol val="none"/>
        </c:marker>
      </c:pivotFmt>
      <c:pivotFmt>
        <c:idx val="531"/>
        <c:marker>
          <c:symbol val="none"/>
        </c:marker>
      </c:pivotFmt>
      <c:pivotFmt>
        <c:idx val="532"/>
        <c:marker>
          <c:symbol val="none"/>
        </c:marker>
      </c:pivotFmt>
      <c:pivotFmt>
        <c:idx val="533"/>
        <c:marker>
          <c:symbol val="none"/>
        </c:marker>
      </c:pivotFmt>
      <c:pivotFmt>
        <c:idx val="534"/>
        <c:marker>
          <c:symbol val="none"/>
        </c:marker>
      </c:pivotFmt>
      <c:pivotFmt>
        <c:idx val="535"/>
        <c:marker>
          <c:symbol val="none"/>
        </c:marker>
      </c:pivotFmt>
      <c:pivotFmt>
        <c:idx val="536"/>
        <c:marker>
          <c:symbol val="none"/>
        </c:marker>
      </c:pivotFmt>
      <c:pivotFmt>
        <c:idx val="537"/>
        <c:marker>
          <c:symbol val="none"/>
        </c:marker>
      </c:pivotFmt>
      <c:pivotFmt>
        <c:idx val="538"/>
        <c:marker>
          <c:symbol val="none"/>
        </c:marker>
      </c:pivotFmt>
      <c:pivotFmt>
        <c:idx val="539"/>
        <c:marker>
          <c:symbol val="none"/>
        </c:marker>
      </c:pivotFmt>
      <c:pivotFmt>
        <c:idx val="540"/>
        <c:marker>
          <c:symbol val="none"/>
        </c:marker>
      </c:pivotFmt>
      <c:pivotFmt>
        <c:idx val="541"/>
        <c:marker>
          <c:symbol val="none"/>
        </c:marker>
      </c:pivotFmt>
      <c:pivotFmt>
        <c:idx val="542"/>
        <c:marker>
          <c:symbol val="none"/>
        </c:marker>
      </c:pivotFmt>
      <c:pivotFmt>
        <c:idx val="543"/>
        <c:marker>
          <c:symbol val="none"/>
        </c:marker>
      </c:pivotFmt>
      <c:pivotFmt>
        <c:idx val="544"/>
        <c:marker>
          <c:symbol val="none"/>
        </c:marker>
      </c:pivotFmt>
      <c:pivotFmt>
        <c:idx val="545"/>
        <c:marker>
          <c:symbol val="none"/>
        </c:marker>
      </c:pivotFmt>
      <c:pivotFmt>
        <c:idx val="546"/>
        <c:marker>
          <c:symbol val="none"/>
        </c:marker>
      </c:pivotFmt>
      <c:pivotFmt>
        <c:idx val="547"/>
        <c:marker>
          <c:symbol val="none"/>
        </c:marker>
      </c:pivotFmt>
      <c:pivotFmt>
        <c:idx val="548"/>
        <c:marker>
          <c:symbol val="none"/>
        </c:marker>
      </c:pivotFmt>
      <c:pivotFmt>
        <c:idx val="549"/>
        <c:marker>
          <c:symbol val="none"/>
        </c:marker>
      </c:pivotFmt>
      <c:pivotFmt>
        <c:idx val="550"/>
        <c:marker>
          <c:symbol val="none"/>
        </c:marker>
      </c:pivotFmt>
      <c:pivotFmt>
        <c:idx val="551"/>
        <c:marker>
          <c:symbol val="none"/>
        </c:marker>
      </c:pivotFmt>
      <c:pivotFmt>
        <c:idx val="552"/>
        <c:marker>
          <c:symbol val="none"/>
        </c:marker>
      </c:pivotFmt>
      <c:pivotFmt>
        <c:idx val="553"/>
        <c:marker>
          <c:symbol val="none"/>
        </c:marker>
      </c:pivotFmt>
      <c:pivotFmt>
        <c:idx val="554"/>
        <c:marker>
          <c:symbol val="none"/>
        </c:marker>
      </c:pivotFmt>
      <c:pivotFmt>
        <c:idx val="555"/>
        <c:marker>
          <c:symbol val="none"/>
        </c:marker>
      </c:pivotFmt>
      <c:pivotFmt>
        <c:idx val="556"/>
        <c:marker>
          <c:symbol val="none"/>
        </c:marker>
      </c:pivotFmt>
      <c:pivotFmt>
        <c:idx val="557"/>
        <c:marker>
          <c:symbol val="none"/>
        </c:marker>
      </c:pivotFmt>
      <c:pivotFmt>
        <c:idx val="558"/>
        <c:marker>
          <c:symbol val="none"/>
        </c:marker>
      </c:pivotFmt>
      <c:pivotFmt>
        <c:idx val="559"/>
        <c:marker>
          <c:symbol val="none"/>
        </c:marker>
      </c:pivotFmt>
      <c:pivotFmt>
        <c:idx val="560"/>
        <c:marker>
          <c:symbol val="none"/>
        </c:marker>
      </c:pivotFmt>
      <c:pivotFmt>
        <c:idx val="561"/>
        <c:marker>
          <c:symbol val="none"/>
        </c:marker>
      </c:pivotFmt>
      <c:pivotFmt>
        <c:idx val="562"/>
        <c:marker>
          <c:symbol val="none"/>
        </c:marker>
      </c:pivotFmt>
      <c:pivotFmt>
        <c:idx val="563"/>
        <c:marker>
          <c:symbol val="none"/>
        </c:marker>
      </c:pivotFmt>
      <c:pivotFmt>
        <c:idx val="564"/>
        <c:marker>
          <c:symbol val="none"/>
        </c:marker>
      </c:pivotFmt>
      <c:pivotFmt>
        <c:idx val="565"/>
        <c:marker>
          <c:symbol val="none"/>
        </c:marker>
      </c:pivotFmt>
      <c:pivotFmt>
        <c:idx val="566"/>
        <c:marker>
          <c:symbol val="none"/>
        </c:marker>
      </c:pivotFmt>
      <c:pivotFmt>
        <c:idx val="567"/>
        <c:marker>
          <c:symbol val="none"/>
        </c:marker>
      </c:pivotFmt>
      <c:pivotFmt>
        <c:idx val="568"/>
        <c:marker>
          <c:symbol val="none"/>
        </c:marker>
      </c:pivotFmt>
      <c:pivotFmt>
        <c:idx val="569"/>
        <c:marker>
          <c:symbol val="none"/>
        </c:marker>
      </c:pivotFmt>
      <c:pivotFmt>
        <c:idx val="570"/>
        <c:marker>
          <c:symbol val="none"/>
        </c:marker>
      </c:pivotFmt>
      <c:pivotFmt>
        <c:idx val="571"/>
        <c:marker>
          <c:symbol val="none"/>
        </c:marker>
      </c:pivotFmt>
      <c:pivotFmt>
        <c:idx val="572"/>
        <c:marker>
          <c:symbol val="none"/>
        </c:marker>
      </c:pivotFmt>
      <c:pivotFmt>
        <c:idx val="573"/>
        <c:marker>
          <c:symbol val="none"/>
        </c:marker>
      </c:pivotFmt>
      <c:pivotFmt>
        <c:idx val="574"/>
        <c:marker>
          <c:symbol val="none"/>
        </c:marker>
      </c:pivotFmt>
      <c:pivotFmt>
        <c:idx val="575"/>
        <c:marker>
          <c:symbol val="none"/>
        </c:marker>
      </c:pivotFmt>
      <c:pivotFmt>
        <c:idx val="576"/>
        <c:marker>
          <c:symbol val="none"/>
        </c:marker>
      </c:pivotFmt>
      <c:pivotFmt>
        <c:idx val="577"/>
        <c:marker>
          <c:symbol val="none"/>
        </c:marker>
      </c:pivotFmt>
      <c:pivotFmt>
        <c:idx val="578"/>
        <c:marker>
          <c:symbol val="none"/>
        </c:marker>
      </c:pivotFmt>
      <c:pivotFmt>
        <c:idx val="579"/>
        <c:marker>
          <c:symbol val="none"/>
        </c:marker>
      </c:pivotFmt>
      <c:pivotFmt>
        <c:idx val="580"/>
        <c:marker>
          <c:symbol val="none"/>
        </c:marker>
      </c:pivotFmt>
      <c:pivotFmt>
        <c:idx val="581"/>
        <c:marker>
          <c:symbol val="none"/>
        </c:marker>
      </c:pivotFmt>
      <c:pivotFmt>
        <c:idx val="582"/>
        <c:marker>
          <c:symbol val="none"/>
        </c:marker>
      </c:pivotFmt>
      <c:pivotFmt>
        <c:idx val="583"/>
        <c:marker>
          <c:symbol val="none"/>
        </c:marker>
      </c:pivotFmt>
      <c:pivotFmt>
        <c:idx val="584"/>
        <c:marker>
          <c:symbol val="none"/>
        </c:marker>
      </c:pivotFmt>
      <c:pivotFmt>
        <c:idx val="585"/>
        <c:marker>
          <c:symbol val="none"/>
        </c:marker>
      </c:pivotFmt>
      <c:pivotFmt>
        <c:idx val="586"/>
        <c:marker>
          <c:symbol val="none"/>
        </c:marker>
      </c:pivotFmt>
      <c:pivotFmt>
        <c:idx val="587"/>
        <c:marker>
          <c:symbol val="none"/>
        </c:marker>
      </c:pivotFmt>
      <c:pivotFmt>
        <c:idx val="588"/>
        <c:marker>
          <c:symbol val="none"/>
        </c:marker>
      </c:pivotFmt>
      <c:pivotFmt>
        <c:idx val="589"/>
        <c:marker>
          <c:symbol val="none"/>
        </c:marker>
      </c:pivotFmt>
      <c:pivotFmt>
        <c:idx val="590"/>
        <c:marker>
          <c:symbol val="none"/>
        </c:marker>
      </c:pivotFmt>
      <c:pivotFmt>
        <c:idx val="591"/>
        <c:marker>
          <c:symbol val="none"/>
        </c:marker>
      </c:pivotFmt>
      <c:pivotFmt>
        <c:idx val="592"/>
        <c:marker>
          <c:symbol val="none"/>
        </c:marker>
      </c:pivotFmt>
      <c:pivotFmt>
        <c:idx val="593"/>
        <c:marker>
          <c:symbol val="none"/>
        </c:marker>
      </c:pivotFmt>
      <c:pivotFmt>
        <c:idx val="594"/>
        <c:marker>
          <c:symbol val="none"/>
        </c:marker>
      </c:pivotFmt>
      <c:pivotFmt>
        <c:idx val="595"/>
        <c:marker>
          <c:symbol val="none"/>
        </c:marker>
      </c:pivotFmt>
      <c:pivotFmt>
        <c:idx val="596"/>
        <c:marker>
          <c:symbol val="none"/>
        </c:marker>
      </c:pivotFmt>
      <c:pivotFmt>
        <c:idx val="597"/>
        <c:marker>
          <c:symbol val="none"/>
        </c:marker>
      </c:pivotFmt>
      <c:pivotFmt>
        <c:idx val="598"/>
        <c:marker>
          <c:symbol val="none"/>
        </c:marker>
      </c:pivotFmt>
      <c:pivotFmt>
        <c:idx val="599"/>
        <c:marker>
          <c:symbol val="none"/>
        </c:marker>
      </c:pivotFmt>
      <c:pivotFmt>
        <c:idx val="600"/>
        <c:marker>
          <c:symbol val="none"/>
        </c:marker>
      </c:pivotFmt>
      <c:pivotFmt>
        <c:idx val="601"/>
        <c:marker>
          <c:symbol val="none"/>
        </c:marker>
      </c:pivotFmt>
      <c:pivotFmt>
        <c:idx val="602"/>
        <c:marker>
          <c:symbol val="none"/>
        </c:marker>
      </c:pivotFmt>
      <c:pivotFmt>
        <c:idx val="603"/>
        <c:marker>
          <c:symbol val="none"/>
        </c:marker>
      </c:pivotFmt>
      <c:pivotFmt>
        <c:idx val="604"/>
        <c:marker>
          <c:symbol val="none"/>
        </c:marker>
      </c:pivotFmt>
      <c:pivotFmt>
        <c:idx val="605"/>
        <c:marker>
          <c:symbol val="none"/>
        </c:marker>
      </c:pivotFmt>
      <c:pivotFmt>
        <c:idx val="606"/>
        <c:marker>
          <c:symbol val="none"/>
        </c:marker>
      </c:pivotFmt>
      <c:pivotFmt>
        <c:idx val="607"/>
        <c:marker>
          <c:symbol val="none"/>
        </c:marker>
      </c:pivotFmt>
      <c:pivotFmt>
        <c:idx val="608"/>
        <c:marker>
          <c:symbol val="none"/>
        </c:marker>
      </c:pivotFmt>
      <c:pivotFmt>
        <c:idx val="609"/>
        <c:marker>
          <c:symbol val="none"/>
        </c:marker>
      </c:pivotFmt>
      <c:pivotFmt>
        <c:idx val="610"/>
        <c:marker>
          <c:symbol val="none"/>
        </c:marker>
      </c:pivotFmt>
      <c:pivotFmt>
        <c:idx val="611"/>
        <c:marker>
          <c:symbol val="none"/>
        </c:marker>
      </c:pivotFmt>
      <c:pivotFmt>
        <c:idx val="612"/>
        <c:marker>
          <c:symbol val="none"/>
        </c:marker>
      </c:pivotFmt>
      <c:pivotFmt>
        <c:idx val="613"/>
        <c:marker>
          <c:symbol val="none"/>
        </c:marker>
      </c:pivotFmt>
      <c:pivotFmt>
        <c:idx val="614"/>
        <c:marker>
          <c:symbol val="none"/>
        </c:marker>
      </c:pivotFmt>
      <c:pivotFmt>
        <c:idx val="615"/>
        <c:marker>
          <c:symbol val="none"/>
        </c:marker>
      </c:pivotFmt>
      <c:pivotFmt>
        <c:idx val="616"/>
        <c:marker>
          <c:symbol val="none"/>
        </c:marker>
      </c:pivotFmt>
      <c:pivotFmt>
        <c:idx val="617"/>
        <c:marker>
          <c:symbol val="none"/>
        </c:marker>
      </c:pivotFmt>
      <c:pivotFmt>
        <c:idx val="618"/>
        <c:marker>
          <c:symbol val="none"/>
        </c:marker>
      </c:pivotFmt>
      <c:pivotFmt>
        <c:idx val="619"/>
        <c:marker>
          <c:symbol val="none"/>
        </c:marker>
      </c:pivotFmt>
      <c:pivotFmt>
        <c:idx val="620"/>
        <c:marker>
          <c:symbol val="none"/>
        </c:marker>
      </c:pivotFmt>
      <c:pivotFmt>
        <c:idx val="621"/>
        <c:marker>
          <c:symbol val="none"/>
        </c:marker>
      </c:pivotFmt>
      <c:pivotFmt>
        <c:idx val="622"/>
        <c:marker>
          <c:symbol val="none"/>
        </c:marker>
      </c:pivotFmt>
      <c:pivotFmt>
        <c:idx val="623"/>
        <c:marker>
          <c:symbol val="none"/>
        </c:marker>
      </c:pivotFmt>
      <c:pivotFmt>
        <c:idx val="624"/>
        <c:marker>
          <c:symbol val="none"/>
        </c:marker>
      </c:pivotFmt>
      <c:pivotFmt>
        <c:idx val="625"/>
        <c:marker>
          <c:symbol val="none"/>
        </c:marker>
      </c:pivotFmt>
      <c:pivotFmt>
        <c:idx val="626"/>
        <c:marker>
          <c:symbol val="none"/>
        </c:marker>
      </c:pivotFmt>
      <c:pivotFmt>
        <c:idx val="627"/>
        <c:marker>
          <c:symbol val="none"/>
        </c:marker>
      </c:pivotFmt>
      <c:pivotFmt>
        <c:idx val="628"/>
        <c:marker>
          <c:symbol val="none"/>
        </c:marker>
      </c:pivotFmt>
      <c:pivotFmt>
        <c:idx val="629"/>
        <c:marker>
          <c:symbol val="none"/>
        </c:marker>
      </c:pivotFmt>
      <c:pivotFmt>
        <c:idx val="630"/>
        <c:marker>
          <c:symbol val="none"/>
        </c:marker>
      </c:pivotFmt>
      <c:pivotFmt>
        <c:idx val="631"/>
        <c:marker>
          <c:symbol val="none"/>
        </c:marker>
      </c:pivotFmt>
      <c:pivotFmt>
        <c:idx val="632"/>
        <c:marker>
          <c:symbol val="none"/>
        </c:marker>
      </c:pivotFmt>
      <c:pivotFmt>
        <c:idx val="633"/>
        <c:marker>
          <c:symbol val="none"/>
        </c:marker>
      </c:pivotFmt>
      <c:pivotFmt>
        <c:idx val="634"/>
        <c:marker>
          <c:symbol val="none"/>
        </c:marker>
      </c:pivotFmt>
      <c:pivotFmt>
        <c:idx val="635"/>
        <c:marker>
          <c:symbol val="none"/>
        </c:marker>
      </c:pivotFmt>
      <c:pivotFmt>
        <c:idx val="636"/>
        <c:marker>
          <c:symbol val="none"/>
        </c:marker>
      </c:pivotFmt>
      <c:pivotFmt>
        <c:idx val="637"/>
        <c:marker>
          <c:symbol val="none"/>
        </c:marker>
      </c:pivotFmt>
      <c:pivotFmt>
        <c:idx val="638"/>
        <c:marker>
          <c:symbol val="none"/>
        </c:marker>
      </c:pivotFmt>
      <c:pivotFmt>
        <c:idx val="639"/>
        <c:marker>
          <c:symbol val="none"/>
        </c:marker>
      </c:pivotFmt>
      <c:pivotFmt>
        <c:idx val="640"/>
        <c:marker>
          <c:symbol val="none"/>
        </c:marker>
      </c:pivotFmt>
      <c:pivotFmt>
        <c:idx val="641"/>
        <c:marker>
          <c:symbol val="none"/>
        </c:marker>
      </c:pivotFmt>
      <c:pivotFmt>
        <c:idx val="642"/>
        <c:marker>
          <c:symbol val="none"/>
        </c:marker>
      </c:pivotFmt>
      <c:pivotFmt>
        <c:idx val="643"/>
        <c:marker>
          <c:symbol val="none"/>
        </c:marker>
      </c:pivotFmt>
      <c:pivotFmt>
        <c:idx val="644"/>
        <c:marker>
          <c:symbol val="none"/>
        </c:marker>
      </c:pivotFmt>
      <c:pivotFmt>
        <c:idx val="645"/>
        <c:marker>
          <c:symbol val="none"/>
        </c:marker>
      </c:pivotFmt>
      <c:pivotFmt>
        <c:idx val="646"/>
        <c:marker>
          <c:symbol val="none"/>
        </c:marker>
      </c:pivotFmt>
      <c:pivotFmt>
        <c:idx val="647"/>
        <c:marker>
          <c:symbol val="none"/>
        </c:marker>
      </c:pivotFmt>
      <c:pivotFmt>
        <c:idx val="648"/>
        <c:marker>
          <c:symbol val="none"/>
        </c:marker>
      </c:pivotFmt>
      <c:pivotFmt>
        <c:idx val="649"/>
        <c:marker>
          <c:symbol val="none"/>
        </c:marker>
      </c:pivotFmt>
      <c:pivotFmt>
        <c:idx val="650"/>
        <c:marker>
          <c:symbol val="none"/>
        </c:marker>
      </c:pivotFmt>
      <c:pivotFmt>
        <c:idx val="651"/>
        <c:marker>
          <c:symbol val="none"/>
        </c:marker>
      </c:pivotFmt>
      <c:pivotFmt>
        <c:idx val="652"/>
        <c:marker>
          <c:symbol val="none"/>
        </c:marker>
      </c:pivotFmt>
      <c:pivotFmt>
        <c:idx val="653"/>
        <c:marker>
          <c:symbol val="none"/>
        </c:marker>
      </c:pivotFmt>
      <c:pivotFmt>
        <c:idx val="654"/>
        <c:marker>
          <c:symbol val="none"/>
        </c:marker>
      </c:pivotFmt>
      <c:pivotFmt>
        <c:idx val="655"/>
        <c:marker>
          <c:symbol val="none"/>
        </c:marker>
      </c:pivotFmt>
      <c:pivotFmt>
        <c:idx val="656"/>
        <c:marker>
          <c:symbol val="none"/>
        </c:marker>
      </c:pivotFmt>
      <c:pivotFmt>
        <c:idx val="657"/>
        <c:marker>
          <c:symbol val="none"/>
        </c:marker>
      </c:pivotFmt>
      <c:pivotFmt>
        <c:idx val="658"/>
        <c:marker>
          <c:symbol val="none"/>
        </c:marker>
      </c:pivotFmt>
      <c:pivotFmt>
        <c:idx val="659"/>
        <c:marker>
          <c:symbol val="none"/>
        </c:marker>
      </c:pivotFmt>
      <c:pivotFmt>
        <c:idx val="660"/>
        <c:marker>
          <c:symbol val="none"/>
        </c:marker>
      </c:pivotFmt>
      <c:pivotFmt>
        <c:idx val="661"/>
        <c:marker>
          <c:symbol val="none"/>
        </c:marker>
      </c:pivotFmt>
      <c:pivotFmt>
        <c:idx val="662"/>
        <c:marker>
          <c:symbol val="none"/>
        </c:marker>
      </c:pivotFmt>
      <c:pivotFmt>
        <c:idx val="663"/>
        <c:marker>
          <c:symbol val="none"/>
        </c:marker>
      </c:pivotFmt>
      <c:pivotFmt>
        <c:idx val="664"/>
        <c:marker>
          <c:symbol val="none"/>
        </c:marker>
      </c:pivotFmt>
      <c:pivotFmt>
        <c:idx val="665"/>
        <c:marker>
          <c:symbol val="none"/>
        </c:marker>
      </c:pivotFmt>
      <c:pivotFmt>
        <c:idx val="666"/>
        <c:marker>
          <c:symbol val="none"/>
        </c:marker>
      </c:pivotFmt>
      <c:pivotFmt>
        <c:idx val="667"/>
        <c:marker>
          <c:symbol val="none"/>
        </c:marker>
      </c:pivotFmt>
      <c:pivotFmt>
        <c:idx val="668"/>
        <c:marker>
          <c:symbol val="none"/>
        </c:marker>
      </c:pivotFmt>
      <c:pivotFmt>
        <c:idx val="669"/>
        <c:marker>
          <c:symbol val="none"/>
        </c:marker>
      </c:pivotFmt>
      <c:pivotFmt>
        <c:idx val="670"/>
        <c:marker>
          <c:symbol val="none"/>
        </c:marker>
      </c:pivotFmt>
      <c:pivotFmt>
        <c:idx val="671"/>
        <c:marker>
          <c:symbol val="none"/>
        </c:marker>
      </c:pivotFmt>
      <c:pivotFmt>
        <c:idx val="672"/>
        <c:marker>
          <c:symbol val="none"/>
        </c:marker>
      </c:pivotFmt>
      <c:pivotFmt>
        <c:idx val="673"/>
        <c:marker>
          <c:symbol val="none"/>
        </c:marker>
      </c:pivotFmt>
      <c:pivotFmt>
        <c:idx val="674"/>
        <c:marker>
          <c:symbol val="none"/>
        </c:marker>
      </c:pivotFmt>
      <c:pivotFmt>
        <c:idx val="675"/>
        <c:marker>
          <c:symbol val="none"/>
        </c:marker>
      </c:pivotFmt>
      <c:pivotFmt>
        <c:idx val="676"/>
        <c:marker>
          <c:symbol val="none"/>
        </c:marker>
      </c:pivotFmt>
      <c:pivotFmt>
        <c:idx val="677"/>
        <c:marker>
          <c:symbol val="none"/>
        </c:marker>
      </c:pivotFmt>
      <c:pivotFmt>
        <c:idx val="678"/>
        <c:marker>
          <c:symbol val="none"/>
        </c:marker>
      </c:pivotFmt>
      <c:pivotFmt>
        <c:idx val="679"/>
        <c:marker>
          <c:symbol val="none"/>
        </c:marker>
      </c:pivotFmt>
      <c:pivotFmt>
        <c:idx val="680"/>
        <c:marker>
          <c:symbol val="none"/>
        </c:marker>
      </c:pivotFmt>
      <c:pivotFmt>
        <c:idx val="681"/>
        <c:marker>
          <c:symbol val="none"/>
        </c:marker>
      </c:pivotFmt>
      <c:pivotFmt>
        <c:idx val="682"/>
        <c:marker>
          <c:symbol val="none"/>
        </c:marker>
      </c:pivotFmt>
      <c:pivotFmt>
        <c:idx val="683"/>
        <c:marker>
          <c:symbol val="none"/>
        </c:marker>
      </c:pivotFmt>
      <c:pivotFmt>
        <c:idx val="684"/>
        <c:marker>
          <c:symbol val="none"/>
        </c:marker>
      </c:pivotFmt>
      <c:pivotFmt>
        <c:idx val="685"/>
        <c:marker>
          <c:symbol val="none"/>
        </c:marker>
      </c:pivotFmt>
      <c:pivotFmt>
        <c:idx val="686"/>
        <c:marker>
          <c:symbol val="none"/>
        </c:marker>
      </c:pivotFmt>
      <c:pivotFmt>
        <c:idx val="687"/>
        <c:marker>
          <c:symbol val="none"/>
        </c:marker>
      </c:pivotFmt>
      <c:pivotFmt>
        <c:idx val="688"/>
        <c:marker>
          <c:symbol val="none"/>
        </c:marker>
      </c:pivotFmt>
      <c:pivotFmt>
        <c:idx val="689"/>
        <c:marker>
          <c:symbol val="none"/>
        </c:marker>
      </c:pivotFmt>
      <c:pivotFmt>
        <c:idx val="690"/>
        <c:marker>
          <c:symbol val="none"/>
        </c:marker>
      </c:pivotFmt>
      <c:pivotFmt>
        <c:idx val="691"/>
        <c:marker>
          <c:symbol val="none"/>
        </c:marker>
      </c:pivotFmt>
      <c:pivotFmt>
        <c:idx val="692"/>
        <c:marker>
          <c:symbol val="none"/>
        </c:marker>
      </c:pivotFmt>
      <c:pivotFmt>
        <c:idx val="693"/>
        <c:marker>
          <c:symbol val="none"/>
        </c:marker>
      </c:pivotFmt>
      <c:pivotFmt>
        <c:idx val="694"/>
        <c:marker>
          <c:symbol val="none"/>
        </c:marker>
      </c:pivotFmt>
      <c:pivotFmt>
        <c:idx val="695"/>
        <c:marker>
          <c:symbol val="none"/>
        </c:marker>
      </c:pivotFmt>
      <c:pivotFmt>
        <c:idx val="696"/>
        <c:marker>
          <c:symbol val="none"/>
        </c:marker>
      </c:pivotFmt>
      <c:pivotFmt>
        <c:idx val="697"/>
        <c:marker>
          <c:symbol val="none"/>
        </c:marker>
      </c:pivotFmt>
      <c:pivotFmt>
        <c:idx val="698"/>
        <c:marker>
          <c:symbol val="none"/>
        </c:marker>
      </c:pivotFmt>
      <c:pivotFmt>
        <c:idx val="699"/>
        <c:marker>
          <c:symbol val="none"/>
        </c:marker>
      </c:pivotFmt>
      <c:pivotFmt>
        <c:idx val="700"/>
        <c:marker>
          <c:symbol val="none"/>
        </c:marker>
      </c:pivotFmt>
      <c:pivotFmt>
        <c:idx val="701"/>
        <c:marker>
          <c:symbol val="none"/>
        </c:marker>
      </c:pivotFmt>
      <c:pivotFmt>
        <c:idx val="702"/>
        <c:marker>
          <c:symbol val="none"/>
        </c:marker>
      </c:pivotFmt>
      <c:pivotFmt>
        <c:idx val="703"/>
        <c:marker>
          <c:symbol val="none"/>
        </c:marker>
      </c:pivotFmt>
      <c:pivotFmt>
        <c:idx val="704"/>
        <c:marker>
          <c:symbol val="none"/>
        </c:marker>
      </c:pivotFmt>
      <c:pivotFmt>
        <c:idx val="705"/>
        <c:marker>
          <c:symbol val="none"/>
        </c:marker>
      </c:pivotFmt>
      <c:pivotFmt>
        <c:idx val="706"/>
        <c:marker>
          <c:symbol val="none"/>
        </c:marker>
      </c:pivotFmt>
      <c:pivotFmt>
        <c:idx val="707"/>
        <c:marker>
          <c:symbol val="none"/>
        </c:marker>
      </c:pivotFmt>
      <c:pivotFmt>
        <c:idx val="708"/>
        <c:marker>
          <c:symbol val="none"/>
        </c:marker>
      </c:pivotFmt>
    </c:pivotFmts>
    <c:plotArea>
      <c:layout/>
      <c:barChart>
        <c:barDir val="col"/>
        <c:grouping val="clustered"/>
        <c:varyColors val="0"/>
        <c:ser>
          <c:idx val="0"/>
          <c:order val="0"/>
          <c:tx>
            <c:strRef>
              <c:f>'comparators (2)'!$B$37</c:f>
              <c:strCache>
                <c:ptCount val="1"/>
                <c:pt idx="0">
                  <c:v>Sum of NHS Days</c:v>
                </c:pt>
              </c:strCache>
            </c:strRef>
          </c:tx>
          <c:invertIfNegative val="0"/>
          <c:cat>
            <c:multiLvlStrRef>
              <c:f>'comparators (2)'!$A$38:$A$74</c:f>
              <c:multiLvlStrCache>
                <c:ptCount val="30"/>
                <c:lvl>
                  <c:pt idx="0">
                    <c:v>APRIL</c:v>
                  </c:pt>
                  <c:pt idx="1">
                    <c:v>MAY</c:v>
                  </c:pt>
                  <c:pt idx="2">
                    <c:v>JUNE</c:v>
                  </c:pt>
                  <c:pt idx="3">
                    <c:v>JULY</c:v>
                  </c:pt>
                  <c:pt idx="4">
                    <c:v>AUGUST</c:v>
                  </c:pt>
                  <c:pt idx="5">
                    <c:v>APRIL</c:v>
                  </c:pt>
                  <c:pt idx="6">
                    <c:v>MAY</c:v>
                  </c:pt>
                  <c:pt idx="7">
                    <c:v>JUNE</c:v>
                  </c:pt>
                  <c:pt idx="8">
                    <c:v>JULY</c:v>
                  </c:pt>
                  <c:pt idx="9">
                    <c:v>AUGUST</c:v>
                  </c:pt>
                  <c:pt idx="10">
                    <c:v>APRIL</c:v>
                  </c:pt>
                  <c:pt idx="11">
                    <c:v>MAY</c:v>
                  </c:pt>
                  <c:pt idx="12">
                    <c:v>JUNE</c:v>
                  </c:pt>
                  <c:pt idx="13">
                    <c:v>JULY</c:v>
                  </c:pt>
                  <c:pt idx="14">
                    <c:v>AUGUST</c:v>
                  </c:pt>
                  <c:pt idx="15">
                    <c:v>APRIL</c:v>
                  </c:pt>
                  <c:pt idx="16">
                    <c:v>MAY</c:v>
                  </c:pt>
                  <c:pt idx="17">
                    <c:v>JUNE</c:v>
                  </c:pt>
                  <c:pt idx="18">
                    <c:v>JULY</c:v>
                  </c:pt>
                  <c:pt idx="19">
                    <c:v>AUGUST</c:v>
                  </c:pt>
                  <c:pt idx="20">
                    <c:v>APRIL</c:v>
                  </c:pt>
                  <c:pt idx="21">
                    <c:v>MAY</c:v>
                  </c:pt>
                  <c:pt idx="22">
                    <c:v>JUNE</c:v>
                  </c:pt>
                  <c:pt idx="23">
                    <c:v>JULY</c:v>
                  </c:pt>
                  <c:pt idx="24">
                    <c:v>AUGUST</c:v>
                  </c:pt>
                  <c:pt idx="25">
                    <c:v>APRIL</c:v>
                  </c:pt>
                  <c:pt idx="26">
                    <c:v>MAY</c:v>
                  </c:pt>
                  <c:pt idx="27">
                    <c:v>JUNE</c:v>
                  </c:pt>
                  <c:pt idx="28">
                    <c:v>JULY</c:v>
                  </c:pt>
                  <c:pt idx="29">
                    <c:v>AUGUST</c:v>
                  </c:pt>
                </c:lvl>
                <c:lvl>
                  <c:pt idx="0">
                    <c:v>BLACKPOOL TEACHING HOSPITALS NHS FOUNDATION TRUST</c:v>
                  </c:pt>
                  <c:pt idx="5">
                    <c:v>EAST LANCASHIRE HOSPITALS NHS TRUST</c:v>
                  </c:pt>
                  <c:pt idx="10">
                    <c:v>LANCASHIRE CARE NHS FOUNDATION TRUST</c:v>
                  </c:pt>
                  <c:pt idx="15">
                    <c:v>LANCASHIRE TEACHING HOSPITALS NHS FOUNDATION TRUST</c:v>
                  </c:pt>
                  <c:pt idx="20">
                    <c:v>SOUTHPORT AND ORMSKIRK HOSPITAL NHS TRUST</c:v>
                  </c:pt>
                  <c:pt idx="25">
                    <c:v>UNIVERSITY HOSPITALS OF MORECAMBE BAY NHS FOUNDATION TRUST</c:v>
                  </c:pt>
                </c:lvl>
              </c:multiLvlStrCache>
            </c:multiLvlStrRef>
          </c:cat>
          <c:val>
            <c:numRef>
              <c:f>'comparators (2)'!$B$38:$B$74</c:f>
              <c:numCache>
                <c:formatCode>General</c:formatCode>
                <c:ptCount val="30"/>
                <c:pt idx="0">
                  <c:v>125</c:v>
                </c:pt>
                <c:pt idx="1">
                  <c:v>158</c:v>
                </c:pt>
                <c:pt idx="2">
                  <c:v>196</c:v>
                </c:pt>
                <c:pt idx="3">
                  <c:v>216</c:v>
                </c:pt>
                <c:pt idx="4">
                  <c:v>178</c:v>
                </c:pt>
                <c:pt idx="5">
                  <c:v>472</c:v>
                </c:pt>
                <c:pt idx="6">
                  <c:v>452</c:v>
                </c:pt>
                <c:pt idx="7">
                  <c:v>406</c:v>
                </c:pt>
                <c:pt idx="8">
                  <c:v>436</c:v>
                </c:pt>
                <c:pt idx="9">
                  <c:v>419</c:v>
                </c:pt>
                <c:pt idx="10">
                  <c:v>173</c:v>
                </c:pt>
                <c:pt idx="11">
                  <c:v>124</c:v>
                </c:pt>
                <c:pt idx="12">
                  <c:v>120</c:v>
                </c:pt>
                <c:pt idx="13">
                  <c:v>131</c:v>
                </c:pt>
                <c:pt idx="14">
                  <c:v>93</c:v>
                </c:pt>
                <c:pt idx="15">
                  <c:v>1219</c:v>
                </c:pt>
                <c:pt idx="16">
                  <c:v>848</c:v>
                </c:pt>
                <c:pt idx="17">
                  <c:v>556</c:v>
                </c:pt>
                <c:pt idx="18">
                  <c:v>629</c:v>
                </c:pt>
                <c:pt idx="19">
                  <c:v>505</c:v>
                </c:pt>
                <c:pt idx="20">
                  <c:v>70</c:v>
                </c:pt>
                <c:pt idx="21">
                  <c:v>29</c:v>
                </c:pt>
                <c:pt idx="22">
                  <c:v>71</c:v>
                </c:pt>
                <c:pt idx="23">
                  <c:v>41</c:v>
                </c:pt>
                <c:pt idx="24">
                  <c:v>49</c:v>
                </c:pt>
                <c:pt idx="25">
                  <c:v>98</c:v>
                </c:pt>
                <c:pt idx="26">
                  <c:v>187</c:v>
                </c:pt>
                <c:pt idx="27">
                  <c:v>107</c:v>
                </c:pt>
                <c:pt idx="28">
                  <c:v>102</c:v>
                </c:pt>
                <c:pt idx="29">
                  <c:v>220</c:v>
                </c:pt>
              </c:numCache>
            </c:numRef>
          </c:val>
        </c:ser>
        <c:ser>
          <c:idx val="1"/>
          <c:order val="1"/>
          <c:tx>
            <c:strRef>
              <c:f>'comparators (2)'!$C$37</c:f>
              <c:strCache>
                <c:ptCount val="1"/>
                <c:pt idx="0">
                  <c:v>Sum of Social Care Days</c:v>
                </c:pt>
              </c:strCache>
            </c:strRef>
          </c:tx>
          <c:invertIfNegative val="0"/>
          <c:cat>
            <c:multiLvlStrRef>
              <c:f>'comparators (2)'!$A$38:$A$74</c:f>
              <c:multiLvlStrCache>
                <c:ptCount val="30"/>
                <c:lvl>
                  <c:pt idx="0">
                    <c:v>APRIL</c:v>
                  </c:pt>
                  <c:pt idx="1">
                    <c:v>MAY</c:v>
                  </c:pt>
                  <c:pt idx="2">
                    <c:v>JUNE</c:v>
                  </c:pt>
                  <c:pt idx="3">
                    <c:v>JULY</c:v>
                  </c:pt>
                  <c:pt idx="4">
                    <c:v>AUGUST</c:v>
                  </c:pt>
                  <c:pt idx="5">
                    <c:v>APRIL</c:v>
                  </c:pt>
                  <c:pt idx="6">
                    <c:v>MAY</c:v>
                  </c:pt>
                  <c:pt idx="7">
                    <c:v>JUNE</c:v>
                  </c:pt>
                  <c:pt idx="8">
                    <c:v>JULY</c:v>
                  </c:pt>
                  <c:pt idx="9">
                    <c:v>AUGUST</c:v>
                  </c:pt>
                  <c:pt idx="10">
                    <c:v>APRIL</c:v>
                  </c:pt>
                  <c:pt idx="11">
                    <c:v>MAY</c:v>
                  </c:pt>
                  <c:pt idx="12">
                    <c:v>JUNE</c:v>
                  </c:pt>
                  <c:pt idx="13">
                    <c:v>JULY</c:v>
                  </c:pt>
                  <c:pt idx="14">
                    <c:v>AUGUST</c:v>
                  </c:pt>
                  <c:pt idx="15">
                    <c:v>APRIL</c:v>
                  </c:pt>
                  <c:pt idx="16">
                    <c:v>MAY</c:v>
                  </c:pt>
                  <c:pt idx="17">
                    <c:v>JUNE</c:v>
                  </c:pt>
                  <c:pt idx="18">
                    <c:v>JULY</c:v>
                  </c:pt>
                  <c:pt idx="19">
                    <c:v>AUGUST</c:v>
                  </c:pt>
                  <c:pt idx="20">
                    <c:v>APRIL</c:v>
                  </c:pt>
                  <c:pt idx="21">
                    <c:v>MAY</c:v>
                  </c:pt>
                  <c:pt idx="22">
                    <c:v>JUNE</c:v>
                  </c:pt>
                  <c:pt idx="23">
                    <c:v>JULY</c:v>
                  </c:pt>
                  <c:pt idx="24">
                    <c:v>AUGUST</c:v>
                  </c:pt>
                  <c:pt idx="25">
                    <c:v>APRIL</c:v>
                  </c:pt>
                  <c:pt idx="26">
                    <c:v>MAY</c:v>
                  </c:pt>
                  <c:pt idx="27">
                    <c:v>JUNE</c:v>
                  </c:pt>
                  <c:pt idx="28">
                    <c:v>JULY</c:v>
                  </c:pt>
                  <c:pt idx="29">
                    <c:v>AUGUST</c:v>
                  </c:pt>
                </c:lvl>
                <c:lvl>
                  <c:pt idx="0">
                    <c:v>BLACKPOOL TEACHING HOSPITALS NHS FOUNDATION TRUST</c:v>
                  </c:pt>
                  <c:pt idx="5">
                    <c:v>EAST LANCASHIRE HOSPITALS NHS TRUST</c:v>
                  </c:pt>
                  <c:pt idx="10">
                    <c:v>LANCASHIRE CARE NHS FOUNDATION TRUST</c:v>
                  </c:pt>
                  <c:pt idx="15">
                    <c:v>LANCASHIRE TEACHING HOSPITALS NHS FOUNDATION TRUST</c:v>
                  </c:pt>
                  <c:pt idx="20">
                    <c:v>SOUTHPORT AND ORMSKIRK HOSPITAL NHS TRUST</c:v>
                  </c:pt>
                  <c:pt idx="25">
                    <c:v>UNIVERSITY HOSPITALS OF MORECAMBE BAY NHS FOUNDATION TRUST</c:v>
                  </c:pt>
                </c:lvl>
              </c:multiLvlStrCache>
            </c:multiLvlStrRef>
          </c:cat>
          <c:val>
            <c:numRef>
              <c:f>'comparators (2)'!$C$38:$C$74</c:f>
              <c:numCache>
                <c:formatCode>General</c:formatCode>
                <c:ptCount val="30"/>
                <c:pt idx="0">
                  <c:v>90</c:v>
                </c:pt>
                <c:pt idx="1">
                  <c:v>144</c:v>
                </c:pt>
                <c:pt idx="2">
                  <c:v>161</c:v>
                </c:pt>
                <c:pt idx="3">
                  <c:v>188</c:v>
                </c:pt>
                <c:pt idx="4">
                  <c:v>175</c:v>
                </c:pt>
                <c:pt idx="5">
                  <c:v>30</c:v>
                </c:pt>
                <c:pt idx="6">
                  <c:v>76</c:v>
                </c:pt>
                <c:pt idx="7">
                  <c:v>26</c:v>
                </c:pt>
                <c:pt idx="8">
                  <c:v>103</c:v>
                </c:pt>
                <c:pt idx="9">
                  <c:v>130</c:v>
                </c:pt>
                <c:pt idx="10">
                  <c:v>18</c:v>
                </c:pt>
                <c:pt idx="11">
                  <c:v>31</c:v>
                </c:pt>
                <c:pt idx="12">
                  <c:v>0</c:v>
                </c:pt>
                <c:pt idx="13">
                  <c:v>0</c:v>
                </c:pt>
                <c:pt idx="14">
                  <c:v>0</c:v>
                </c:pt>
                <c:pt idx="15">
                  <c:v>658</c:v>
                </c:pt>
                <c:pt idx="16">
                  <c:v>522</c:v>
                </c:pt>
                <c:pt idx="17">
                  <c:v>600</c:v>
                </c:pt>
                <c:pt idx="18">
                  <c:v>544</c:v>
                </c:pt>
                <c:pt idx="19">
                  <c:v>677</c:v>
                </c:pt>
                <c:pt idx="20">
                  <c:v>0</c:v>
                </c:pt>
                <c:pt idx="21">
                  <c:v>0</c:v>
                </c:pt>
                <c:pt idx="22">
                  <c:v>0</c:v>
                </c:pt>
                <c:pt idx="23">
                  <c:v>4</c:v>
                </c:pt>
                <c:pt idx="24">
                  <c:v>7</c:v>
                </c:pt>
                <c:pt idx="25">
                  <c:v>127</c:v>
                </c:pt>
                <c:pt idx="26">
                  <c:v>290</c:v>
                </c:pt>
                <c:pt idx="27">
                  <c:v>222</c:v>
                </c:pt>
                <c:pt idx="28">
                  <c:v>160</c:v>
                </c:pt>
                <c:pt idx="29">
                  <c:v>191</c:v>
                </c:pt>
              </c:numCache>
            </c:numRef>
          </c:val>
        </c:ser>
        <c:ser>
          <c:idx val="2"/>
          <c:order val="2"/>
          <c:tx>
            <c:strRef>
              <c:f>'comparators (2)'!$D$37</c:f>
              <c:strCache>
                <c:ptCount val="1"/>
                <c:pt idx="0">
                  <c:v>Sum of NHS and Social Care Days</c:v>
                </c:pt>
              </c:strCache>
            </c:strRef>
          </c:tx>
          <c:invertIfNegative val="0"/>
          <c:cat>
            <c:multiLvlStrRef>
              <c:f>'comparators (2)'!$A$38:$A$74</c:f>
              <c:multiLvlStrCache>
                <c:ptCount val="30"/>
                <c:lvl>
                  <c:pt idx="0">
                    <c:v>APRIL</c:v>
                  </c:pt>
                  <c:pt idx="1">
                    <c:v>MAY</c:v>
                  </c:pt>
                  <c:pt idx="2">
                    <c:v>JUNE</c:v>
                  </c:pt>
                  <c:pt idx="3">
                    <c:v>JULY</c:v>
                  </c:pt>
                  <c:pt idx="4">
                    <c:v>AUGUST</c:v>
                  </c:pt>
                  <c:pt idx="5">
                    <c:v>APRIL</c:v>
                  </c:pt>
                  <c:pt idx="6">
                    <c:v>MAY</c:v>
                  </c:pt>
                  <c:pt idx="7">
                    <c:v>JUNE</c:v>
                  </c:pt>
                  <c:pt idx="8">
                    <c:v>JULY</c:v>
                  </c:pt>
                  <c:pt idx="9">
                    <c:v>AUGUST</c:v>
                  </c:pt>
                  <c:pt idx="10">
                    <c:v>APRIL</c:v>
                  </c:pt>
                  <c:pt idx="11">
                    <c:v>MAY</c:v>
                  </c:pt>
                  <c:pt idx="12">
                    <c:v>JUNE</c:v>
                  </c:pt>
                  <c:pt idx="13">
                    <c:v>JULY</c:v>
                  </c:pt>
                  <c:pt idx="14">
                    <c:v>AUGUST</c:v>
                  </c:pt>
                  <c:pt idx="15">
                    <c:v>APRIL</c:v>
                  </c:pt>
                  <c:pt idx="16">
                    <c:v>MAY</c:v>
                  </c:pt>
                  <c:pt idx="17">
                    <c:v>JUNE</c:v>
                  </c:pt>
                  <c:pt idx="18">
                    <c:v>JULY</c:v>
                  </c:pt>
                  <c:pt idx="19">
                    <c:v>AUGUST</c:v>
                  </c:pt>
                  <c:pt idx="20">
                    <c:v>APRIL</c:v>
                  </c:pt>
                  <c:pt idx="21">
                    <c:v>MAY</c:v>
                  </c:pt>
                  <c:pt idx="22">
                    <c:v>JUNE</c:v>
                  </c:pt>
                  <c:pt idx="23">
                    <c:v>JULY</c:v>
                  </c:pt>
                  <c:pt idx="24">
                    <c:v>AUGUST</c:v>
                  </c:pt>
                  <c:pt idx="25">
                    <c:v>APRIL</c:v>
                  </c:pt>
                  <c:pt idx="26">
                    <c:v>MAY</c:v>
                  </c:pt>
                  <c:pt idx="27">
                    <c:v>JUNE</c:v>
                  </c:pt>
                  <c:pt idx="28">
                    <c:v>JULY</c:v>
                  </c:pt>
                  <c:pt idx="29">
                    <c:v>AUGUST</c:v>
                  </c:pt>
                </c:lvl>
                <c:lvl>
                  <c:pt idx="0">
                    <c:v>BLACKPOOL TEACHING HOSPITALS NHS FOUNDATION TRUST</c:v>
                  </c:pt>
                  <c:pt idx="5">
                    <c:v>EAST LANCASHIRE HOSPITALS NHS TRUST</c:v>
                  </c:pt>
                  <c:pt idx="10">
                    <c:v>LANCASHIRE CARE NHS FOUNDATION TRUST</c:v>
                  </c:pt>
                  <c:pt idx="15">
                    <c:v>LANCASHIRE TEACHING HOSPITALS NHS FOUNDATION TRUST</c:v>
                  </c:pt>
                  <c:pt idx="20">
                    <c:v>SOUTHPORT AND ORMSKIRK HOSPITAL NHS TRUST</c:v>
                  </c:pt>
                  <c:pt idx="25">
                    <c:v>UNIVERSITY HOSPITALS OF MORECAMBE BAY NHS FOUNDATION TRUST</c:v>
                  </c:pt>
                </c:lvl>
              </c:multiLvlStrCache>
            </c:multiLvlStrRef>
          </c:cat>
          <c:val>
            <c:numRef>
              <c:f>'comparators (2)'!$D$38:$D$74</c:f>
              <c:numCache>
                <c:formatCode>General</c:formatCode>
                <c:ptCount val="30"/>
                <c:pt idx="0">
                  <c:v>106</c:v>
                </c:pt>
                <c:pt idx="1">
                  <c:v>73</c:v>
                </c:pt>
                <c:pt idx="2">
                  <c:v>41</c:v>
                </c:pt>
                <c:pt idx="3">
                  <c:v>29</c:v>
                </c:pt>
                <c:pt idx="4">
                  <c:v>18</c:v>
                </c:pt>
                <c:pt idx="5">
                  <c:v>0</c:v>
                </c:pt>
                <c:pt idx="6">
                  <c:v>15</c:v>
                </c:pt>
                <c:pt idx="7">
                  <c:v>33</c:v>
                </c:pt>
                <c:pt idx="8">
                  <c:v>11</c:v>
                </c:pt>
                <c:pt idx="9">
                  <c:v>2</c:v>
                </c:pt>
                <c:pt idx="10">
                  <c:v>60</c:v>
                </c:pt>
                <c:pt idx="11">
                  <c:v>31</c:v>
                </c:pt>
                <c:pt idx="12">
                  <c:v>30</c:v>
                </c:pt>
                <c:pt idx="13">
                  <c:v>120</c:v>
                </c:pt>
                <c:pt idx="14">
                  <c:v>104</c:v>
                </c:pt>
                <c:pt idx="15">
                  <c:v>1</c:v>
                </c:pt>
                <c:pt idx="16">
                  <c:v>4</c:v>
                </c:pt>
                <c:pt idx="17">
                  <c:v>9</c:v>
                </c:pt>
                <c:pt idx="18">
                  <c:v>18</c:v>
                </c:pt>
                <c:pt idx="19">
                  <c:v>29</c:v>
                </c:pt>
                <c:pt idx="20">
                  <c:v>0</c:v>
                </c:pt>
                <c:pt idx="21">
                  <c:v>0</c:v>
                </c:pt>
                <c:pt idx="22">
                  <c:v>0</c:v>
                </c:pt>
                <c:pt idx="23">
                  <c:v>0</c:v>
                </c:pt>
                <c:pt idx="24">
                  <c:v>0</c:v>
                </c:pt>
                <c:pt idx="25">
                  <c:v>7</c:v>
                </c:pt>
                <c:pt idx="26">
                  <c:v>0</c:v>
                </c:pt>
                <c:pt idx="27">
                  <c:v>14</c:v>
                </c:pt>
                <c:pt idx="28">
                  <c:v>0</c:v>
                </c:pt>
                <c:pt idx="29">
                  <c:v>0</c:v>
                </c:pt>
              </c:numCache>
            </c:numRef>
          </c:val>
        </c:ser>
        <c:dLbls>
          <c:showLegendKey val="0"/>
          <c:showVal val="0"/>
          <c:showCatName val="0"/>
          <c:showSerName val="0"/>
          <c:showPercent val="0"/>
          <c:showBubbleSize val="0"/>
        </c:dLbls>
        <c:gapWidth val="150"/>
        <c:axId val="345230352"/>
        <c:axId val="345230744"/>
      </c:barChart>
      <c:catAx>
        <c:axId val="345230352"/>
        <c:scaling>
          <c:orientation val="minMax"/>
        </c:scaling>
        <c:delete val="0"/>
        <c:axPos val="b"/>
        <c:numFmt formatCode="General" sourceLinked="0"/>
        <c:majorTickMark val="out"/>
        <c:minorTickMark val="none"/>
        <c:tickLblPos val="nextTo"/>
        <c:txPr>
          <a:bodyPr/>
          <a:lstStyle/>
          <a:p>
            <a:pPr>
              <a:defRPr sz="800" baseline="0"/>
            </a:pPr>
            <a:endParaRPr lang="en-US"/>
          </a:p>
        </c:txPr>
        <c:crossAx val="345230744"/>
        <c:crosses val="autoZero"/>
        <c:auto val="1"/>
        <c:lblAlgn val="ctr"/>
        <c:lblOffset val="100"/>
        <c:noMultiLvlLbl val="0"/>
      </c:catAx>
      <c:valAx>
        <c:axId val="345230744"/>
        <c:scaling>
          <c:orientation val="minMax"/>
        </c:scaling>
        <c:delete val="0"/>
        <c:axPos val="l"/>
        <c:majorGridlines/>
        <c:numFmt formatCode="General" sourceLinked="1"/>
        <c:majorTickMark val="out"/>
        <c:minorTickMark val="none"/>
        <c:tickLblPos val="nextTo"/>
        <c:crossAx val="345230352"/>
        <c:crosses val="autoZero"/>
        <c:crossBetween val="between"/>
      </c:valAx>
    </c:plotArea>
    <c:legend>
      <c:legendPos val="b"/>
      <c:layout/>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[DTOC 2016_17 to 2018_19 revised1.xlsx]comparators (2)!PivotTable2</c:name>
    <c:fmtId val="883"/>
  </c:pivotSource>
  <c:chart>
    <c:title>
      <c:tx>
        <c:rich>
          <a:bodyPr/>
          <a:lstStyle/>
          <a:p>
            <a:pPr>
              <a:defRPr/>
            </a:pPr>
            <a:r>
              <a:rPr lang="en-GB" sz="1200" b="1" i="0" baseline="0">
                <a:effectLst/>
              </a:rPr>
              <a:t>Aug-18 social care delayed days by provider and local authority</a:t>
            </a:r>
            <a:endParaRPr lang="en-GB" sz="1200">
              <a:effectLst/>
            </a:endParaRPr>
          </a:p>
        </c:rich>
      </c:tx>
      <c:layout>
        <c:manualLayout>
          <c:xMode val="edge"/>
          <c:yMode val="edge"/>
          <c:x val="0.16325907432302666"/>
          <c:y val="3.3401819670500377E-2"/>
        </c:manualLayout>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pivotFmt>
      <c:pivotFmt>
        <c:idx val="61"/>
        <c:marker>
          <c:symbol val="none"/>
        </c:marker>
      </c:pivotFmt>
      <c:pivotFmt>
        <c:idx val="62"/>
        <c:marker>
          <c:symbol val="none"/>
        </c:marker>
      </c:pivotFmt>
      <c:pivotFmt>
        <c:idx val="63"/>
        <c:marker>
          <c:symbol val="none"/>
        </c:marker>
      </c:pivotFmt>
      <c:pivotFmt>
        <c:idx val="64"/>
        <c:marker>
          <c:symbol val="none"/>
        </c:marker>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pivotFmt>
      <c:pivotFmt>
        <c:idx val="76"/>
        <c:marker>
          <c:symbol val="none"/>
        </c:marker>
      </c:pivotFmt>
      <c:pivotFmt>
        <c:idx val="77"/>
        <c:marker>
          <c:symbol val="none"/>
        </c:marker>
      </c:pivotFmt>
      <c:pivotFmt>
        <c:idx val="78"/>
        <c:marker>
          <c:symbol val="none"/>
        </c:marker>
      </c:pivotFmt>
      <c:pivotFmt>
        <c:idx val="79"/>
        <c:marker>
          <c:symbol val="none"/>
        </c:marker>
      </c:pivotFmt>
      <c:pivotFmt>
        <c:idx val="80"/>
        <c:marker>
          <c:symbol val="none"/>
        </c:marker>
      </c:pivotFmt>
      <c:pivotFmt>
        <c:idx val="81"/>
        <c:marker>
          <c:symbol val="none"/>
        </c:marker>
      </c:pivotFmt>
      <c:pivotFmt>
        <c:idx val="82"/>
        <c:marker>
          <c:symbol val="none"/>
        </c:marker>
      </c:pivotFmt>
      <c:pivotFmt>
        <c:idx val="83"/>
        <c:marker>
          <c:symbol val="none"/>
        </c:marker>
      </c:pivotFmt>
      <c:pivotFmt>
        <c:idx val="84"/>
        <c:marker>
          <c:symbol val="none"/>
        </c:marker>
      </c:pivotFmt>
      <c:pivotFmt>
        <c:idx val="85"/>
        <c:marker>
          <c:symbol val="none"/>
        </c:marker>
      </c:pivotFmt>
      <c:pivotFmt>
        <c:idx val="86"/>
        <c:marker>
          <c:symbol val="none"/>
        </c:marker>
      </c:pivotFmt>
      <c:pivotFmt>
        <c:idx val="87"/>
        <c:marker>
          <c:symbol val="none"/>
        </c:marker>
      </c:pivotFmt>
      <c:pivotFmt>
        <c:idx val="88"/>
        <c:marker>
          <c:symbol val="none"/>
        </c:marker>
      </c:pivotFmt>
      <c:pivotFmt>
        <c:idx val="89"/>
        <c:marker>
          <c:symbol val="none"/>
        </c:marker>
      </c:pivotFmt>
      <c:pivotFmt>
        <c:idx val="90"/>
        <c:marker>
          <c:symbol val="none"/>
        </c:marker>
      </c:pivotFmt>
      <c:pivotFmt>
        <c:idx val="91"/>
        <c:marker>
          <c:symbol val="none"/>
        </c:marker>
      </c:pivotFmt>
      <c:pivotFmt>
        <c:idx val="92"/>
        <c:marker>
          <c:symbol val="none"/>
        </c:marker>
      </c:pivotFmt>
      <c:pivotFmt>
        <c:idx val="93"/>
        <c:marker>
          <c:symbol val="none"/>
        </c:marker>
      </c:pivotFmt>
      <c:pivotFmt>
        <c:idx val="94"/>
        <c:marker>
          <c:symbol val="none"/>
        </c:marker>
      </c:pivotFmt>
      <c:pivotFmt>
        <c:idx val="95"/>
        <c:marker>
          <c:symbol val="none"/>
        </c:marker>
      </c:pivotFmt>
      <c:pivotFmt>
        <c:idx val="96"/>
        <c:marker>
          <c:symbol val="none"/>
        </c:marker>
      </c:pivotFmt>
      <c:pivotFmt>
        <c:idx val="97"/>
        <c:marker>
          <c:symbol val="none"/>
        </c:marker>
      </c:pivotFmt>
      <c:pivotFmt>
        <c:idx val="98"/>
        <c:marker>
          <c:symbol val="none"/>
        </c:marker>
      </c:pivotFmt>
      <c:pivotFmt>
        <c:idx val="99"/>
        <c:marker>
          <c:symbol val="none"/>
        </c:marker>
      </c:pivotFmt>
      <c:pivotFmt>
        <c:idx val="100"/>
        <c:marker>
          <c:symbol val="none"/>
        </c:marker>
      </c:pivotFmt>
      <c:pivotFmt>
        <c:idx val="101"/>
      </c:pivotFmt>
      <c:pivotFmt>
        <c:idx val="102"/>
        <c:marker>
          <c:symbol val="none"/>
        </c:marker>
      </c:pivotFmt>
      <c:pivotFmt>
        <c:idx val="103"/>
        <c:marker>
          <c:symbol val="none"/>
        </c:marker>
      </c:pivotFmt>
      <c:pivotFmt>
        <c:idx val="104"/>
        <c:marker>
          <c:symbol val="none"/>
        </c:marker>
      </c:pivotFmt>
      <c:pivotFmt>
        <c:idx val="105"/>
      </c:pivotFmt>
      <c:pivotFmt>
        <c:idx val="106"/>
      </c:pivotFmt>
      <c:pivotFmt>
        <c:idx val="107"/>
      </c:pivotFmt>
      <c:pivotFmt>
        <c:idx val="108"/>
      </c:pivotFmt>
      <c:pivotFmt>
        <c:idx val="109"/>
      </c:pivotFmt>
      <c:pivotFmt>
        <c:idx val="110"/>
      </c:pivotFmt>
      <c:pivotFmt>
        <c:idx val="111"/>
      </c:pivotFmt>
      <c:pivotFmt>
        <c:idx val="112"/>
      </c:pivotFmt>
      <c:pivotFmt>
        <c:idx val="113"/>
      </c:pivotFmt>
      <c:pivotFmt>
        <c:idx val="114"/>
      </c:pivotFmt>
      <c:pivotFmt>
        <c:idx val="115"/>
      </c:pivotFmt>
      <c:pivotFmt>
        <c:idx val="116"/>
      </c:pivotFmt>
      <c:pivotFmt>
        <c:idx val="117"/>
      </c:pivotFmt>
      <c:pivotFmt>
        <c:idx val="118"/>
      </c:pivotFmt>
      <c:pivotFmt>
        <c:idx val="119"/>
      </c:pivotFmt>
      <c:pivotFmt>
        <c:idx val="120"/>
      </c:pivotFmt>
      <c:pivotFmt>
        <c:idx val="121"/>
      </c:pivotFmt>
      <c:pivotFmt>
        <c:idx val="122"/>
      </c:pivotFmt>
      <c:pivotFmt>
        <c:idx val="123"/>
        <c:marker>
          <c:symbol val="none"/>
        </c:marker>
      </c:pivotFmt>
      <c:pivotFmt>
        <c:idx val="124"/>
        <c:marker>
          <c:symbol val="none"/>
        </c:marker>
      </c:pivotFmt>
      <c:pivotFmt>
        <c:idx val="125"/>
        <c:marker>
          <c:symbol val="none"/>
        </c:marker>
      </c:pivotFmt>
      <c:pivotFmt>
        <c:idx val="126"/>
        <c:marker>
          <c:symbol val="none"/>
        </c:marker>
      </c:pivotFmt>
      <c:pivotFmt>
        <c:idx val="127"/>
        <c:marker>
          <c:symbol val="none"/>
        </c:marker>
      </c:pivotFmt>
      <c:pivotFmt>
        <c:idx val="128"/>
        <c:marker>
          <c:symbol val="none"/>
        </c:marker>
      </c:pivotFmt>
      <c:pivotFmt>
        <c:idx val="129"/>
        <c:marker>
          <c:symbol val="none"/>
        </c:marker>
      </c:pivotFmt>
      <c:pivotFmt>
        <c:idx val="130"/>
        <c:marker>
          <c:symbol val="none"/>
        </c:marker>
      </c:pivotFmt>
      <c:pivotFmt>
        <c:idx val="131"/>
        <c:marker>
          <c:symbol val="none"/>
        </c:marker>
      </c:pivotFmt>
      <c:pivotFmt>
        <c:idx val="132"/>
        <c:marker>
          <c:symbol val="none"/>
        </c:marker>
      </c:pivotFmt>
      <c:pivotFmt>
        <c:idx val="133"/>
        <c:marker>
          <c:symbol val="none"/>
        </c:marker>
      </c:pivotFmt>
      <c:pivotFmt>
        <c:idx val="134"/>
        <c:marker>
          <c:symbol val="none"/>
        </c:marker>
      </c:pivotFmt>
      <c:pivotFmt>
        <c:idx val="135"/>
        <c:marker>
          <c:symbol val="none"/>
        </c:marker>
      </c:pivotFmt>
      <c:pivotFmt>
        <c:idx val="136"/>
        <c:marker>
          <c:symbol val="none"/>
        </c:marker>
      </c:pivotFmt>
      <c:pivotFmt>
        <c:idx val="137"/>
        <c:marker>
          <c:symbol val="none"/>
        </c:marker>
      </c:pivotFmt>
      <c:pivotFmt>
        <c:idx val="138"/>
        <c:marker>
          <c:symbol val="none"/>
        </c:marker>
      </c:pivotFmt>
      <c:pivotFmt>
        <c:idx val="139"/>
        <c:marker>
          <c:symbol val="none"/>
        </c:marker>
      </c:pivotFmt>
      <c:pivotFmt>
        <c:idx val="140"/>
        <c:marker>
          <c:symbol val="none"/>
        </c:marker>
      </c:pivotFmt>
      <c:pivotFmt>
        <c:idx val="141"/>
        <c:marker>
          <c:symbol val="none"/>
        </c:marker>
      </c:pivotFmt>
      <c:pivotFmt>
        <c:idx val="142"/>
        <c:marker>
          <c:symbol val="none"/>
        </c:marker>
      </c:pivotFmt>
      <c:pivotFmt>
        <c:idx val="143"/>
        <c:marker>
          <c:symbol val="none"/>
        </c:marker>
      </c:pivotFmt>
      <c:pivotFmt>
        <c:idx val="144"/>
        <c:marker>
          <c:symbol val="none"/>
        </c:marker>
      </c:pivotFmt>
      <c:pivotFmt>
        <c:idx val="145"/>
        <c:marker>
          <c:symbol val="none"/>
        </c:marker>
      </c:pivotFmt>
      <c:pivotFmt>
        <c:idx val="146"/>
        <c:marker>
          <c:symbol val="none"/>
        </c:marker>
      </c:pivotFmt>
      <c:pivotFmt>
        <c:idx val="147"/>
        <c:marker>
          <c:symbol val="none"/>
        </c:marker>
      </c:pivotFmt>
      <c:pivotFmt>
        <c:idx val="148"/>
        <c:marker>
          <c:symbol val="none"/>
        </c:marker>
      </c:pivotFmt>
      <c:pivotFmt>
        <c:idx val="149"/>
        <c:marker>
          <c:symbol val="none"/>
        </c:marker>
      </c:pivotFmt>
      <c:pivotFmt>
        <c:idx val="150"/>
        <c:marker>
          <c:symbol val="none"/>
        </c:marker>
      </c:pivotFmt>
      <c:pivotFmt>
        <c:idx val="151"/>
        <c:marker>
          <c:symbol val="none"/>
        </c:marker>
      </c:pivotFmt>
      <c:pivotFmt>
        <c:idx val="152"/>
        <c:marker>
          <c:symbol val="none"/>
        </c:marker>
      </c:pivotFmt>
      <c:pivotFmt>
        <c:idx val="153"/>
        <c:marker>
          <c:symbol val="none"/>
        </c:marker>
      </c:pivotFmt>
      <c:pivotFmt>
        <c:idx val="154"/>
        <c:marker>
          <c:symbol val="none"/>
        </c:marker>
      </c:pivotFmt>
      <c:pivotFmt>
        <c:idx val="155"/>
        <c:marker>
          <c:symbol val="none"/>
        </c:marker>
      </c:pivotFmt>
      <c:pivotFmt>
        <c:idx val="156"/>
        <c:marker>
          <c:symbol val="none"/>
        </c:marker>
      </c:pivotFmt>
      <c:pivotFmt>
        <c:idx val="157"/>
        <c:marker>
          <c:symbol val="none"/>
        </c:marker>
      </c:pivotFmt>
      <c:pivotFmt>
        <c:idx val="158"/>
        <c:marker>
          <c:symbol val="none"/>
        </c:marker>
      </c:pivotFmt>
      <c:pivotFmt>
        <c:idx val="159"/>
        <c:marker>
          <c:symbol val="none"/>
        </c:marker>
      </c:pivotFmt>
      <c:pivotFmt>
        <c:idx val="160"/>
        <c:marker>
          <c:symbol val="none"/>
        </c:marker>
      </c:pivotFmt>
      <c:pivotFmt>
        <c:idx val="161"/>
        <c:marker>
          <c:symbol val="none"/>
        </c:marker>
      </c:pivotFmt>
      <c:pivotFmt>
        <c:idx val="162"/>
        <c:marker>
          <c:symbol val="none"/>
        </c:marker>
      </c:pivotFmt>
      <c:pivotFmt>
        <c:idx val="163"/>
        <c:marker>
          <c:symbol val="none"/>
        </c:marker>
      </c:pivotFmt>
      <c:pivotFmt>
        <c:idx val="164"/>
        <c:marker>
          <c:symbol val="none"/>
        </c:marker>
      </c:pivotFmt>
      <c:pivotFmt>
        <c:idx val="165"/>
        <c:marker>
          <c:symbol val="none"/>
        </c:marker>
      </c:pivotFmt>
      <c:pivotFmt>
        <c:idx val="166"/>
        <c:marker>
          <c:symbol val="none"/>
        </c:marker>
      </c:pivotFmt>
      <c:pivotFmt>
        <c:idx val="167"/>
        <c:marker>
          <c:symbol val="none"/>
        </c:marker>
      </c:pivotFmt>
      <c:pivotFmt>
        <c:idx val="168"/>
        <c:marker>
          <c:symbol val="none"/>
        </c:marker>
      </c:pivotFmt>
      <c:pivotFmt>
        <c:idx val="169"/>
        <c:marker>
          <c:symbol val="none"/>
        </c:marker>
      </c:pivotFmt>
      <c:pivotFmt>
        <c:idx val="170"/>
        <c:marker>
          <c:symbol val="none"/>
        </c:marker>
      </c:pivotFmt>
      <c:pivotFmt>
        <c:idx val="171"/>
        <c:marker>
          <c:symbol val="none"/>
        </c:marker>
      </c:pivotFmt>
      <c:pivotFmt>
        <c:idx val="172"/>
        <c:marker>
          <c:symbol val="none"/>
        </c:marker>
      </c:pivotFmt>
      <c:pivotFmt>
        <c:idx val="173"/>
        <c:marker>
          <c:symbol val="none"/>
        </c:marker>
      </c:pivotFmt>
      <c:pivotFmt>
        <c:idx val="174"/>
        <c:marker>
          <c:symbol val="none"/>
        </c:marker>
      </c:pivotFmt>
      <c:pivotFmt>
        <c:idx val="175"/>
        <c:marker>
          <c:symbol val="none"/>
        </c:marker>
      </c:pivotFmt>
      <c:pivotFmt>
        <c:idx val="176"/>
        <c:marker>
          <c:symbol val="none"/>
        </c:marker>
      </c:pivotFmt>
      <c:pivotFmt>
        <c:idx val="177"/>
        <c:marker>
          <c:symbol val="none"/>
        </c:marker>
      </c:pivotFmt>
      <c:pivotFmt>
        <c:idx val="178"/>
        <c:marker>
          <c:symbol val="none"/>
        </c:marker>
      </c:pivotFmt>
      <c:pivotFmt>
        <c:idx val="179"/>
        <c:marker>
          <c:symbol val="none"/>
        </c:marker>
      </c:pivotFmt>
      <c:pivotFmt>
        <c:idx val="180"/>
        <c:marker>
          <c:symbol val="none"/>
        </c:marker>
      </c:pivotFmt>
      <c:pivotFmt>
        <c:idx val="181"/>
        <c:marker>
          <c:symbol val="none"/>
        </c:marker>
      </c:pivotFmt>
      <c:pivotFmt>
        <c:idx val="182"/>
        <c:marker>
          <c:symbol val="none"/>
        </c:marker>
      </c:pivotFmt>
      <c:pivotFmt>
        <c:idx val="183"/>
        <c:marker>
          <c:symbol val="none"/>
        </c:marker>
      </c:pivotFmt>
      <c:pivotFmt>
        <c:idx val="184"/>
        <c:marker>
          <c:symbol val="none"/>
        </c:marker>
      </c:pivotFmt>
      <c:pivotFmt>
        <c:idx val="185"/>
        <c:marker>
          <c:symbol val="none"/>
        </c:marker>
      </c:pivotFmt>
      <c:pivotFmt>
        <c:idx val="186"/>
        <c:marker>
          <c:symbol val="none"/>
        </c:marker>
      </c:pivotFmt>
      <c:pivotFmt>
        <c:idx val="187"/>
        <c:marker>
          <c:symbol val="none"/>
        </c:marker>
      </c:pivotFmt>
      <c:pivotFmt>
        <c:idx val="188"/>
        <c:marker>
          <c:symbol val="none"/>
        </c:marker>
      </c:pivotFmt>
      <c:pivotFmt>
        <c:idx val="189"/>
        <c:marker>
          <c:symbol val="none"/>
        </c:marker>
      </c:pivotFmt>
      <c:pivotFmt>
        <c:idx val="190"/>
        <c:marker>
          <c:symbol val="none"/>
        </c:marker>
      </c:pivotFmt>
      <c:pivotFmt>
        <c:idx val="191"/>
        <c:marker>
          <c:symbol val="none"/>
        </c:marker>
      </c:pivotFmt>
      <c:pivotFmt>
        <c:idx val="192"/>
        <c:marker>
          <c:symbol val="none"/>
        </c:marker>
      </c:pivotFmt>
      <c:pivotFmt>
        <c:idx val="193"/>
        <c:marker>
          <c:symbol val="none"/>
        </c:marker>
      </c:pivotFmt>
      <c:pivotFmt>
        <c:idx val="194"/>
        <c:marker>
          <c:symbol val="none"/>
        </c:marker>
      </c:pivotFmt>
      <c:pivotFmt>
        <c:idx val="195"/>
        <c:marker>
          <c:symbol val="none"/>
        </c:marker>
      </c:pivotFmt>
      <c:pivotFmt>
        <c:idx val="196"/>
        <c:marker>
          <c:symbol val="none"/>
        </c:marker>
      </c:pivotFmt>
      <c:pivotFmt>
        <c:idx val="197"/>
        <c:marker>
          <c:symbol val="none"/>
        </c:marker>
      </c:pivotFmt>
      <c:pivotFmt>
        <c:idx val="198"/>
        <c:marker>
          <c:symbol val="none"/>
        </c:marker>
      </c:pivotFmt>
      <c:pivotFmt>
        <c:idx val="199"/>
        <c:marker>
          <c:symbol val="none"/>
        </c:marker>
      </c:pivotFmt>
      <c:pivotFmt>
        <c:idx val="200"/>
        <c:marker>
          <c:symbol val="none"/>
        </c:marker>
      </c:pivotFmt>
      <c:pivotFmt>
        <c:idx val="201"/>
        <c:marker>
          <c:symbol val="none"/>
        </c:marker>
      </c:pivotFmt>
      <c:pivotFmt>
        <c:idx val="202"/>
        <c:marker>
          <c:symbol val="none"/>
        </c:marker>
      </c:pivotFmt>
      <c:pivotFmt>
        <c:idx val="203"/>
        <c:marker>
          <c:symbol val="none"/>
        </c:marker>
      </c:pivotFmt>
      <c:pivotFmt>
        <c:idx val="204"/>
        <c:marker>
          <c:symbol val="none"/>
        </c:marker>
      </c:pivotFmt>
      <c:pivotFmt>
        <c:idx val="205"/>
        <c:marker>
          <c:symbol val="none"/>
        </c:marker>
      </c:pivotFmt>
      <c:pivotFmt>
        <c:idx val="206"/>
        <c:marker>
          <c:symbol val="none"/>
        </c:marker>
      </c:pivotFmt>
      <c:pivotFmt>
        <c:idx val="207"/>
        <c:marker>
          <c:symbol val="none"/>
        </c:marker>
      </c:pivotFmt>
      <c:pivotFmt>
        <c:idx val="208"/>
        <c:marker>
          <c:symbol val="none"/>
        </c:marker>
      </c:pivotFmt>
      <c:pivotFmt>
        <c:idx val="209"/>
        <c:marker>
          <c:symbol val="none"/>
        </c:marker>
      </c:pivotFmt>
      <c:pivotFmt>
        <c:idx val="210"/>
        <c:marker>
          <c:symbol val="none"/>
        </c:marker>
      </c:pivotFmt>
      <c:pivotFmt>
        <c:idx val="211"/>
        <c:marker>
          <c:symbol val="none"/>
        </c:marker>
      </c:pivotFmt>
      <c:pivotFmt>
        <c:idx val="212"/>
        <c:marker>
          <c:symbol val="none"/>
        </c:marker>
      </c:pivotFmt>
      <c:pivotFmt>
        <c:idx val="213"/>
        <c:marker>
          <c:symbol val="none"/>
        </c:marker>
      </c:pivotFmt>
      <c:pivotFmt>
        <c:idx val="214"/>
        <c:marker>
          <c:symbol val="none"/>
        </c:marker>
      </c:pivotFmt>
      <c:pivotFmt>
        <c:idx val="215"/>
        <c:marker>
          <c:symbol val="none"/>
        </c:marker>
      </c:pivotFmt>
      <c:pivotFmt>
        <c:idx val="216"/>
        <c:marker>
          <c:symbol val="none"/>
        </c:marker>
      </c:pivotFmt>
      <c:pivotFmt>
        <c:idx val="217"/>
        <c:marker>
          <c:symbol val="none"/>
        </c:marker>
      </c:pivotFmt>
      <c:pivotFmt>
        <c:idx val="218"/>
        <c:marker>
          <c:symbol val="none"/>
        </c:marker>
      </c:pivotFmt>
      <c:pivotFmt>
        <c:idx val="219"/>
        <c:marker>
          <c:symbol val="none"/>
        </c:marker>
      </c:pivotFmt>
      <c:pivotFmt>
        <c:idx val="220"/>
        <c:marker>
          <c:symbol val="none"/>
        </c:marker>
      </c:pivotFmt>
      <c:pivotFmt>
        <c:idx val="221"/>
        <c:marker>
          <c:symbol val="none"/>
        </c:marker>
      </c:pivotFmt>
      <c:pivotFmt>
        <c:idx val="222"/>
        <c:marker>
          <c:symbol val="none"/>
        </c:marker>
      </c:pivotFmt>
      <c:pivotFmt>
        <c:idx val="223"/>
        <c:marker>
          <c:symbol val="none"/>
        </c:marker>
      </c:pivotFmt>
      <c:pivotFmt>
        <c:idx val="224"/>
        <c:marker>
          <c:symbol val="none"/>
        </c:marker>
      </c:pivotFmt>
      <c:pivotFmt>
        <c:idx val="225"/>
        <c:marker>
          <c:symbol val="none"/>
        </c:marker>
      </c:pivotFmt>
      <c:pivotFmt>
        <c:idx val="226"/>
        <c:marker>
          <c:symbol val="none"/>
        </c:marker>
      </c:pivotFmt>
      <c:pivotFmt>
        <c:idx val="227"/>
        <c:marker>
          <c:symbol val="none"/>
        </c:marker>
      </c:pivotFmt>
      <c:pivotFmt>
        <c:idx val="228"/>
        <c:marker>
          <c:symbol val="none"/>
        </c:marker>
      </c:pivotFmt>
      <c:pivotFmt>
        <c:idx val="229"/>
        <c:marker>
          <c:symbol val="none"/>
        </c:marker>
      </c:pivotFmt>
      <c:pivotFmt>
        <c:idx val="230"/>
        <c:marker>
          <c:symbol val="none"/>
        </c:marker>
      </c:pivotFmt>
      <c:pivotFmt>
        <c:idx val="231"/>
        <c:marker>
          <c:symbol val="none"/>
        </c:marker>
      </c:pivotFmt>
      <c:pivotFmt>
        <c:idx val="232"/>
        <c:marker>
          <c:symbol val="none"/>
        </c:marker>
      </c:pivotFmt>
      <c:pivotFmt>
        <c:idx val="233"/>
        <c:marker>
          <c:symbol val="none"/>
        </c:marker>
      </c:pivotFmt>
      <c:pivotFmt>
        <c:idx val="234"/>
        <c:marker>
          <c:symbol val="none"/>
        </c:marker>
      </c:pivotFmt>
      <c:pivotFmt>
        <c:idx val="235"/>
        <c:marker>
          <c:symbol val="none"/>
        </c:marker>
      </c:pivotFmt>
      <c:pivotFmt>
        <c:idx val="236"/>
        <c:marker>
          <c:symbol val="none"/>
        </c:marker>
      </c:pivotFmt>
      <c:pivotFmt>
        <c:idx val="237"/>
        <c:marker>
          <c:symbol val="none"/>
        </c:marker>
      </c:pivotFmt>
      <c:pivotFmt>
        <c:idx val="238"/>
        <c:marker>
          <c:symbol val="none"/>
        </c:marker>
      </c:pivotFmt>
      <c:pivotFmt>
        <c:idx val="239"/>
        <c:marker>
          <c:symbol val="none"/>
        </c:marker>
      </c:pivotFmt>
      <c:pivotFmt>
        <c:idx val="240"/>
        <c:marker>
          <c:symbol val="none"/>
        </c:marker>
      </c:pivotFmt>
      <c:pivotFmt>
        <c:idx val="241"/>
        <c:marker>
          <c:symbol val="none"/>
        </c:marker>
      </c:pivotFmt>
      <c:pivotFmt>
        <c:idx val="242"/>
        <c:marker>
          <c:symbol val="none"/>
        </c:marker>
      </c:pivotFmt>
      <c:pivotFmt>
        <c:idx val="243"/>
        <c:marker>
          <c:symbol val="none"/>
        </c:marker>
      </c:pivotFmt>
      <c:pivotFmt>
        <c:idx val="244"/>
        <c:marker>
          <c:symbol val="none"/>
        </c:marker>
      </c:pivotFmt>
      <c:pivotFmt>
        <c:idx val="245"/>
        <c:marker>
          <c:symbol val="none"/>
        </c:marker>
      </c:pivotFmt>
      <c:pivotFmt>
        <c:idx val="246"/>
        <c:marker>
          <c:symbol val="none"/>
        </c:marker>
      </c:pivotFmt>
      <c:pivotFmt>
        <c:idx val="247"/>
        <c:marker>
          <c:symbol val="none"/>
        </c:marker>
      </c:pivotFmt>
      <c:pivotFmt>
        <c:idx val="248"/>
        <c:marker>
          <c:symbol val="none"/>
        </c:marker>
      </c:pivotFmt>
      <c:pivotFmt>
        <c:idx val="249"/>
        <c:marker>
          <c:symbol val="none"/>
        </c:marker>
      </c:pivotFmt>
      <c:pivotFmt>
        <c:idx val="250"/>
        <c:marker>
          <c:symbol val="none"/>
        </c:marker>
      </c:pivotFmt>
      <c:pivotFmt>
        <c:idx val="251"/>
        <c:marker>
          <c:symbol val="none"/>
        </c:marker>
      </c:pivotFmt>
      <c:pivotFmt>
        <c:idx val="252"/>
        <c:marker>
          <c:symbol val="none"/>
        </c:marker>
      </c:pivotFmt>
      <c:pivotFmt>
        <c:idx val="253"/>
        <c:marker>
          <c:symbol val="none"/>
        </c:marker>
      </c:pivotFmt>
      <c:pivotFmt>
        <c:idx val="254"/>
        <c:marker>
          <c:symbol val="none"/>
        </c:marker>
      </c:pivotFmt>
      <c:pivotFmt>
        <c:idx val="255"/>
        <c:marker>
          <c:symbol val="none"/>
        </c:marker>
      </c:pivotFmt>
      <c:pivotFmt>
        <c:idx val="256"/>
        <c:marker>
          <c:symbol val="none"/>
        </c:marker>
      </c:pivotFmt>
      <c:pivotFmt>
        <c:idx val="257"/>
        <c:marker>
          <c:symbol val="none"/>
        </c:marker>
      </c:pivotFmt>
      <c:pivotFmt>
        <c:idx val="258"/>
        <c:marker>
          <c:symbol val="none"/>
        </c:marker>
      </c:pivotFmt>
      <c:pivotFmt>
        <c:idx val="259"/>
        <c:marker>
          <c:symbol val="none"/>
        </c:marker>
      </c:pivotFmt>
      <c:pivotFmt>
        <c:idx val="260"/>
        <c:marker>
          <c:symbol val="none"/>
        </c:marker>
      </c:pivotFmt>
      <c:pivotFmt>
        <c:idx val="261"/>
        <c:marker>
          <c:symbol val="none"/>
        </c:marker>
      </c:pivotFmt>
      <c:pivotFmt>
        <c:idx val="262"/>
        <c:marker>
          <c:symbol val="none"/>
        </c:marker>
      </c:pivotFmt>
      <c:pivotFmt>
        <c:idx val="263"/>
        <c:marker>
          <c:symbol val="none"/>
        </c:marker>
      </c:pivotFmt>
      <c:pivotFmt>
        <c:idx val="264"/>
        <c:marker>
          <c:symbol val="none"/>
        </c:marker>
      </c:pivotFmt>
      <c:pivotFmt>
        <c:idx val="265"/>
        <c:marker>
          <c:symbol val="none"/>
        </c:marker>
      </c:pivotFmt>
      <c:pivotFmt>
        <c:idx val="266"/>
        <c:marker>
          <c:symbol val="none"/>
        </c:marker>
      </c:pivotFmt>
      <c:pivotFmt>
        <c:idx val="267"/>
        <c:marker>
          <c:symbol val="none"/>
        </c:marker>
      </c:pivotFmt>
      <c:pivotFmt>
        <c:idx val="268"/>
        <c:marker>
          <c:symbol val="none"/>
        </c:marker>
      </c:pivotFmt>
      <c:pivotFmt>
        <c:idx val="269"/>
        <c:marker>
          <c:symbol val="none"/>
        </c:marker>
      </c:pivotFmt>
      <c:pivotFmt>
        <c:idx val="270"/>
        <c:marker>
          <c:symbol val="none"/>
        </c:marker>
      </c:pivotFmt>
      <c:pivotFmt>
        <c:idx val="271"/>
        <c:marker>
          <c:symbol val="none"/>
        </c:marker>
      </c:pivotFmt>
      <c:pivotFmt>
        <c:idx val="272"/>
        <c:marker>
          <c:symbol val="none"/>
        </c:marker>
      </c:pivotFmt>
      <c:pivotFmt>
        <c:idx val="273"/>
        <c:marker>
          <c:symbol val="none"/>
        </c:marker>
      </c:pivotFmt>
      <c:pivotFmt>
        <c:idx val="274"/>
        <c:marker>
          <c:symbol val="none"/>
        </c:marker>
      </c:pivotFmt>
      <c:pivotFmt>
        <c:idx val="275"/>
        <c:marker>
          <c:symbol val="none"/>
        </c:marker>
      </c:pivotFmt>
      <c:pivotFmt>
        <c:idx val="276"/>
        <c:marker>
          <c:symbol val="none"/>
        </c:marker>
      </c:pivotFmt>
      <c:pivotFmt>
        <c:idx val="277"/>
        <c:marker>
          <c:symbol val="none"/>
        </c:marker>
      </c:pivotFmt>
      <c:pivotFmt>
        <c:idx val="278"/>
        <c:marker>
          <c:symbol val="none"/>
        </c:marker>
      </c:pivotFmt>
      <c:pivotFmt>
        <c:idx val="279"/>
        <c:marker>
          <c:symbol val="none"/>
        </c:marker>
      </c:pivotFmt>
      <c:pivotFmt>
        <c:idx val="280"/>
        <c:marker>
          <c:symbol val="none"/>
        </c:marker>
      </c:pivotFmt>
      <c:pivotFmt>
        <c:idx val="281"/>
        <c:marker>
          <c:symbol val="none"/>
        </c:marker>
      </c:pivotFmt>
      <c:pivotFmt>
        <c:idx val="282"/>
        <c:marker>
          <c:symbol val="none"/>
        </c:marker>
      </c:pivotFmt>
      <c:pivotFmt>
        <c:idx val="283"/>
        <c:marker>
          <c:symbol val="none"/>
        </c:marker>
      </c:pivotFmt>
      <c:pivotFmt>
        <c:idx val="284"/>
        <c:marker>
          <c:symbol val="none"/>
        </c:marker>
      </c:pivotFmt>
      <c:pivotFmt>
        <c:idx val="285"/>
        <c:marker>
          <c:symbol val="none"/>
        </c:marker>
      </c:pivotFmt>
      <c:pivotFmt>
        <c:idx val="286"/>
        <c:marker>
          <c:symbol val="none"/>
        </c:marker>
      </c:pivotFmt>
      <c:pivotFmt>
        <c:idx val="287"/>
        <c:marker>
          <c:symbol val="none"/>
        </c:marker>
      </c:pivotFmt>
      <c:pivotFmt>
        <c:idx val="288"/>
        <c:marker>
          <c:symbol val="none"/>
        </c:marker>
      </c:pivotFmt>
      <c:pivotFmt>
        <c:idx val="289"/>
        <c:marker>
          <c:symbol val="none"/>
        </c:marker>
      </c:pivotFmt>
      <c:pivotFmt>
        <c:idx val="290"/>
        <c:marker>
          <c:symbol val="none"/>
        </c:marker>
      </c:pivotFmt>
      <c:pivotFmt>
        <c:idx val="291"/>
        <c:marker>
          <c:symbol val="none"/>
        </c:marker>
      </c:pivotFmt>
      <c:pivotFmt>
        <c:idx val="292"/>
        <c:marker>
          <c:symbol val="none"/>
        </c:marker>
      </c:pivotFmt>
      <c:pivotFmt>
        <c:idx val="293"/>
        <c:marker>
          <c:symbol val="none"/>
        </c:marker>
      </c:pivotFmt>
      <c:pivotFmt>
        <c:idx val="294"/>
        <c:marker>
          <c:symbol val="none"/>
        </c:marker>
      </c:pivotFmt>
      <c:pivotFmt>
        <c:idx val="295"/>
        <c:marker>
          <c:symbol val="none"/>
        </c:marker>
      </c:pivotFmt>
      <c:pivotFmt>
        <c:idx val="296"/>
        <c:marker>
          <c:symbol val="none"/>
        </c:marker>
      </c:pivotFmt>
      <c:pivotFmt>
        <c:idx val="297"/>
        <c:marker>
          <c:symbol val="none"/>
        </c:marker>
      </c:pivotFmt>
      <c:pivotFmt>
        <c:idx val="298"/>
        <c:marker>
          <c:symbol val="none"/>
        </c:marker>
      </c:pivotFmt>
      <c:pivotFmt>
        <c:idx val="299"/>
        <c:marker>
          <c:symbol val="none"/>
        </c:marker>
      </c:pivotFmt>
      <c:pivotFmt>
        <c:idx val="300"/>
        <c:marker>
          <c:symbol val="none"/>
        </c:marker>
      </c:pivotFmt>
      <c:pivotFmt>
        <c:idx val="301"/>
        <c:marker>
          <c:symbol val="none"/>
        </c:marker>
      </c:pivotFmt>
      <c:pivotFmt>
        <c:idx val="302"/>
        <c:marker>
          <c:symbol val="none"/>
        </c:marker>
      </c:pivotFmt>
      <c:pivotFmt>
        <c:idx val="303"/>
        <c:marker>
          <c:symbol val="none"/>
        </c:marker>
      </c:pivotFmt>
      <c:pivotFmt>
        <c:idx val="304"/>
        <c:marker>
          <c:symbol val="none"/>
        </c:marker>
      </c:pivotFmt>
      <c:pivotFmt>
        <c:idx val="305"/>
        <c:marker>
          <c:symbol val="none"/>
        </c:marker>
      </c:pivotFmt>
      <c:pivotFmt>
        <c:idx val="306"/>
        <c:marker>
          <c:symbol val="none"/>
        </c:marker>
      </c:pivotFmt>
      <c:pivotFmt>
        <c:idx val="307"/>
        <c:marker>
          <c:symbol val="none"/>
        </c:marker>
      </c:pivotFmt>
      <c:pivotFmt>
        <c:idx val="308"/>
        <c:marker>
          <c:symbol val="none"/>
        </c:marker>
      </c:pivotFmt>
      <c:pivotFmt>
        <c:idx val="309"/>
        <c:marker>
          <c:symbol val="none"/>
        </c:marker>
      </c:pivotFmt>
      <c:pivotFmt>
        <c:idx val="310"/>
        <c:marker>
          <c:symbol val="none"/>
        </c:marker>
      </c:pivotFmt>
      <c:pivotFmt>
        <c:idx val="311"/>
        <c:marker>
          <c:symbol val="none"/>
        </c:marker>
      </c:pivotFmt>
      <c:pivotFmt>
        <c:idx val="312"/>
        <c:marker>
          <c:symbol val="none"/>
        </c:marker>
      </c:pivotFmt>
      <c:pivotFmt>
        <c:idx val="313"/>
        <c:marker>
          <c:symbol val="none"/>
        </c:marker>
      </c:pivotFmt>
      <c:pivotFmt>
        <c:idx val="314"/>
        <c:marker>
          <c:symbol val="none"/>
        </c:marker>
      </c:pivotFmt>
      <c:pivotFmt>
        <c:idx val="315"/>
        <c:marker>
          <c:symbol val="none"/>
        </c:marker>
      </c:pivotFmt>
      <c:pivotFmt>
        <c:idx val="316"/>
        <c:marker>
          <c:symbol val="none"/>
        </c:marker>
      </c:pivotFmt>
      <c:pivotFmt>
        <c:idx val="317"/>
        <c:marker>
          <c:symbol val="none"/>
        </c:marker>
      </c:pivotFmt>
      <c:pivotFmt>
        <c:idx val="318"/>
        <c:marker>
          <c:symbol val="none"/>
        </c:marker>
      </c:pivotFmt>
      <c:pivotFmt>
        <c:idx val="319"/>
        <c:marker>
          <c:symbol val="none"/>
        </c:marker>
      </c:pivotFmt>
      <c:pivotFmt>
        <c:idx val="320"/>
        <c:marker>
          <c:symbol val="none"/>
        </c:marker>
      </c:pivotFmt>
      <c:pivotFmt>
        <c:idx val="321"/>
        <c:marker>
          <c:symbol val="none"/>
        </c:marker>
      </c:pivotFmt>
      <c:pivotFmt>
        <c:idx val="322"/>
        <c:marker>
          <c:symbol val="none"/>
        </c:marker>
      </c:pivotFmt>
      <c:pivotFmt>
        <c:idx val="323"/>
        <c:marker>
          <c:symbol val="none"/>
        </c:marker>
      </c:pivotFmt>
      <c:pivotFmt>
        <c:idx val="324"/>
        <c:marker>
          <c:symbol val="none"/>
        </c:marker>
      </c:pivotFmt>
      <c:pivotFmt>
        <c:idx val="325"/>
        <c:marker>
          <c:symbol val="none"/>
        </c:marker>
      </c:pivotFmt>
      <c:pivotFmt>
        <c:idx val="326"/>
        <c:marker>
          <c:symbol val="none"/>
        </c:marker>
      </c:pivotFmt>
      <c:pivotFmt>
        <c:idx val="327"/>
        <c:marker>
          <c:symbol val="none"/>
        </c:marker>
      </c:pivotFmt>
      <c:pivotFmt>
        <c:idx val="328"/>
        <c:marker>
          <c:symbol val="none"/>
        </c:marker>
      </c:pivotFmt>
      <c:pivotFmt>
        <c:idx val="329"/>
        <c:marker>
          <c:symbol val="none"/>
        </c:marker>
      </c:pivotFmt>
      <c:pivotFmt>
        <c:idx val="330"/>
        <c:marker>
          <c:symbol val="none"/>
        </c:marker>
      </c:pivotFmt>
      <c:pivotFmt>
        <c:idx val="331"/>
        <c:marker>
          <c:symbol val="none"/>
        </c:marker>
      </c:pivotFmt>
      <c:pivotFmt>
        <c:idx val="332"/>
        <c:marker>
          <c:symbol val="none"/>
        </c:marker>
      </c:pivotFmt>
      <c:pivotFmt>
        <c:idx val="333"/>
        <c:marker>
          <c:symbol val="none"/>
        </c:marker>
      </c:pivotFmt>
      <c:pivotFmt>
        <c:idx val="334"/>
        <c:marker>
          <c:symbol val="none"/>
        </c:marker>
      </c:pivotFmt>
      <c:pivotFmt>
        <c:idx val="335"/>
        <c:marker>
          <c:symbol val="none"/>
        </c:marker>
      </c:pivotFmt>
      <c:pivotFmt>
        <c:idx val="336"/>
        <c:marker>
          <c:symbol val="none"/>
        </c:marker>
      </c:pivotFmt>
      <c:pivotFmt>
        <c:idx val="337"/>
        <c:marker>
          <c:symbol val="none"/>
        </c:marker>
      </c:pivotFmt>
      <c:pivotFmt>
        <c:idx val="338"/>
        <c:marker>
          <c:symbol val="none"/>
        </c:marker>
      </c:pivotFmt>
      <c:pivotFmt>
        <c:idx val="339"/>
        <c:marker>
          <c:symbol val="none"/>
        </c:marker>
      </c:pivotFmt>
      <c:pivotFmt>
        <c:idx val="340"/>
        <c:marker>
          <c:symbol val="none"/>
        </c:marker>
      </c:pivotFmt>
      <c:pivotFmt>
        <c:idx val="341"/>
        <c:marker>
          <c:symbol val="none"/>
        </c:marker>
      </c:pivotFmt>
      <c:pivotFmt>
        <c:idx val="342"/>
        <c:marker>
          <c:symbol val="none"/>
        </c:marker>
      </c:pivotFmt>
      <c:pivotFmt>
        <c:idx val="343"/>
        <c:marker>
          <c:symbol val="none"/>
        </c:marker>
      </c:pivotFmt>
      <c:pivotFmt>
        <c:idx val="344"/>
        <c:marker>
          <c:symbol val="none"/>
        </c:marker>
      </c:pivotFmt>
      <c:pivotFmt>
        <c:idx val="345"/>
        <c:marker>
          <c:symbol val="none"/>
        </c:marker>
      </c:pivotFmt>
      <c:pivotFmt>
        <c:idx val="346"/>
        <c:marker>
          <c:symbol val="none"/>
        </c:marker>
      </c:pivotFmt>
      <c:pivotFmt>
        <c:idx val="347"/>
        <c:marker>
          <c:symbol val="none"/>
        </c:marker>
      </c:pivotFmt>
      <c:pivotFmt>
        <c:idx val="348"/>
        <c:marker>
          <c:symbol val="none"/>
        </c:marker>
      </c:pivotFmt>
      <c:pivotFmt>
        <c:idx val="349"/>
        <c:marker>
          <c:symbol val="none"/>
        </c:marker>
      </c:pivotFmt>
      <c:pivotFmt>
        <c:idx val="350"/>
        <c:marker>
          <c:symbol val="none"/>
        </c:marker>
      </c:pivotFmt>
      <c:pivotFmt>
        <c:idx val="351"/>
        <c:marker>
          <c:symbol val="none"/>
        </c:marker>
      </c:pivotFmt>
      <c:pivotFmt>
        <c:idx val="352"/>
        <c:marker>
          <c:symbol val="none"/>
        </c:marker>
      </c:pivotFmt>
      <c:pivotFmt>
        <c:idx val="353"/>
        <c:marker>
          <c:symbol val="none"/>
        </c:marker>
      </c:pivotFmt>
      <c:pivotFmt>
        <c:idx val="354"/>
        <c:marker>
          <c:symbol val="none"/>
        </c:marker>
      </c:pivotFmt>
      <c:pivotFmt>
        <c:idx val="355"/>
        <c:marker>
          <c:symbol val="none"/>
        </c:marker>
      </c:pivotFmt>
      <c:pivotFmt>
        <c:idx val="356"/>
        <c:marker>
          <c:symbol val="none"/>
        </c:marker>
      </c:pivotFmt>
      <c:pivotFmt>
        <c:idx val="357"/>
        <c:marker>
          <c:symbol val="none"/>
        </c:marker>
      </c:pivotFmt>
      <c:pivotFmt>
        <c:idx val="358"/>
        <c:marker>
          <c:symbol val="none"/>
        </c:marker>
      </c:pivotFmt>
      <c:pivotFmt>
        <c:idx val="359"/>
        <c:marker>
          <c:symbol val="none"/>
        </c:marker>
      </c:pivotFmt>
      <c:pivotFmt>
        <c:idx val="360"/>
        <c:marker>
          <c:symbol val="none"/>
        </c:marker>
      </c:pivotFmt>
      <c:pivotFmt>
        <c:idx val="361"/>
        <c:marker>
          <c:symbol val="none"/>
        </c:marker>
      </c:pivotFmt>
      <c:pivotFmt>
        <c:idx val="362"/>
        <c:marker>
          <c:symbol val="none"/>
        </c:marker>
      </c:pivotFmt>
      <c:pivotFmt>
        <c:idx val="363"/>
        <c:marker>
          <c:symbol val="none"/>
        </c:marker>
      </c:pivotFmt>
      <c:pivotFmt>
        <c:idx val="364"/>
        <c:marker>
          <c:symbol val="none"/>
        </c:marker>
      </c:pivotFmt>
      <c:pivotFmt>
        <c:idx val="365"/>
        <c:marker>
          <c:symbol val="none"/>
        </c:marker>
      </c:pivotFmt>
      <c:pivotFmt>
        <c:idx val="366"/>
        <c:marker>
          <c:symbol val="none"/>
        </c:marker>
      </c:pivotFmt>
      <c:pivotFmt>
        <c:idx val="367"/>
        <c:marker>
          <c:symbol val="none"/>
        </c:marker>
      </c:pivotFmt>
      <c:pivotFmt>
        <c:idx val="368"/>
        <c:marker>
          <c:symbol val="none"/>
        </c:marker>
      </c:pivotFmt>
      <c:pivotFmt>
        <c:idx val="369"/>
        <c:marker>
          <c:symbol val="none"/>
        </c:marker>
      </c:pivotFmt>
      <c:pivotFmt>
        <c:idx val="370"/>
        <c:marker>
          <c:symbol val="none"/>
        </c:marker>
      </c:pivotFmt>
      <c:pivotFmt>
        <c:idx val="371"/>
        <c:marker>
          <c:symbol val="none"/>
        </c:marker>
      </c:pivotFmt>
      <c:pivotFmt>
        <c:idx val="372"/>
        <c:marker>
          <c:symbol val="none"/>
        </c:marker>
      </c:pivotFmt>
      <c:pivotFmt>
        <c:idx val="373"/>
        <c:marker>
          <c:symbol val="none"/>
        </c:marker>
      </c:pivotFmt>
      <c:pivotFmt>
        <c:idx val="374"/>
        <c:marker>
          <c:symbol val="none"/>
        </c:marker>
      </c:pivotFmt>
      <c:pivotFmt>
        <c:idx val="375"/>
        <c:marker>
          <c:symbol val="none"/>
        </c:marker>
      </c:pivotFmt>
      <c:pivotFmt>
        <c:idx val="376"/>
        <c:marker>
          <c:symbol val="none"/>
        </c:marker>
      </c:pivotFmt>
      <c:pivotFmt>
        <c:idx val="377"/>
        <c:marker>
          <c:symbol val="none"/>
        </c:marker>
      </c:pivotFmt>
      <c:pivotFmt>
        <c:idx val="378"/>
        <c:marker>
          <c:symbol val="none"/>
        </c:marker>
      </c:pivotFmt>
      <c:pivotFmt>
        <c:idx val="379"/>
        <c:marker>
          <c:symbol val="none"/>
        </c:marker>
      </c:pivotFmt>
      <c:pivotFmt>
        <c:idx val="380"/>
        <c:marker>
          <c:symbol val="none"/>
        </c:marker>
      </c:pivotFmt>
      <c:pivotFmt>
        <c:idx val="381"/>
        <c:marker>
          <c:symbol val="none"/>
        </c:marker>
      </c:pivotFmt>
      <c:pivotFmt>
        <c:idx val="382"/>
        <c:marker>
          <c:symbol val="none"/>
        </c:marker>
      </c:pivotFmt>
      <c:pivotFmt>
        <c:idx val="383"/>
        <c:marker>
          <c:symbol val="none"/>
        </c:marker>
      </c:pivotFmt>
      <c:pivotFmt>
        <c:idx val="384"/>
        <c:marker>
          <c:symbol val="none"/>
        </c:marker>
      </c:pivotFmt>
      <c:pivotFmt>
        <c:idx val="385"/>
        <c:marker>
          <c:symbol val="none"/>
        </c:marker>
      </c:pivotFmt>
      <c:pivotFmt>
        <c:idx val="386"/>
        <c:marker>
          <c:symbol val="none"/>
        </c:marker>
      </c:pivotFmt>
      <c:pivotFmt>
        <c:idx val="387"/>
        <c:marker>
          <c:symbol val="none"/>
        </c:marker>
      </c:pivotFmt>
      <c:pivotFmt>
        <c:idx val="388"/>
        <c:marker>
          <c:symbol val="none"/>
        </c:marker>
      </c:pivotFmt>
      <c:pivotFmt>
        <c:idx val="389"/>
        <c:marker>
          <c:symbol val="none"/>
        </c:marker>
      </c:pivotFmt>
      <c:pivotFmt>
        <c:idx val="390"/>
        <c:marker>
          <c:symbol val="none"/>
        </c:marker>
      </c:pivotFmt>
      <c:pivotFmt>
        <c:idx val="391"/>
        <c:marker>
          <c:symbol val="none"/>
        </c:marker>
      </c:pivotFmt>
      <c:pivotFmt>
        <c:idx val="392"/>
        <c:marker>
          <c:symbol val="none"/>
        </c:marker>
      </c:pivotFmt>
      <c:pivotFmt>
        <c:idx val="393"/>
        <c:marker>
          <c:symbol val="none"/>
        </c:marker>
      </c:pivotFmt>
      <c:pivotFmt>
        <c:idx val="394"/>
        <c:marker>
          <c:symbol val="none"/>
        </c:marker>
      </c:pivotFmt>
      <c:pivotFmt>
        <c:idx val="395"/>
        <c:marker>
          <c:symbol val="none"/>
        </c:marker>
      </c:pivotFmt>
      <c:pivotFmt>
        <c:idx val="396"/>
        <c:marker>
          <c:symbol val="none"/>
        </c:marker>
      </c:pivotFmt>
      <c:pivotFmt>
        <c:idx val="397"/>
        <c:marker>
          <c:symbol val="none"/>
        </c:marker>
      </c:pivotFmt>
      <c:pivotFmt>
        <c:idx val="398"/>
        <c:marker>
          <c:symbol val="none"/>
        </c:marker>
      </c:pivotFmt>
      <c:pivotFmt>
        <c:idx val="399"/>
        <c:marker>
          <c:symbol val="none"/>
        </c:marker>
      </c:pivotFmt>
      <c:pivotFmt>
        <c:idx val="400"/>
        <c:marker>
          <c:symbol val="none"/>
        </c:marker>
      </c:pivotFmt>
      <c:pivotFmt>
        <c:idx val="401"/>
        <c:marker>
          <c:symbol val="none"/>
        </c:marker>
      </c:pivotFmt>
      <c:pivotFmt>
        <c:idx val="402"/>
        <c:marker>
          <c:symbol val="none"/>
        </c:marker>
      </c:pivotFmt>
      <c:pivotFmt>
        <c:idx val="403"/>
        <c:marker>
          <c:symbol val="none"/>
        </c:marker>
      </c:pivotFmt>
      <c:pivotFmt>
        <c:idx val="404"/>
        <c:marker>
          <c:symbol val="none"/>
        </c:marker>
      </c:pivotFmt>
      <c:pivotFmt>
        <c:idx val="405"/>
        <c:marker>
          <c:symbol val="none"/>
        </c:marker>
      </c:pivotFmt>
      <c:pivotFmt>
        <c:idx val="406"/>
        <c:marker>
          <c:symbol val="none"/>
        </c:marker>
      </c:pivotFmt>
      <c:pivotFmt>
        <c:idx val="407"/>
        <c:marker>
          <c:symbol val="none"/>
        </c:marker>
      </c:pivotFmt>
      <c:pivotFmt>
        <c:idx val="408"/>
        <c:marker>
          <c:symbol val="none"/>
        </c:marker>
      </c:pivotFmt>
      <c:pivotFmt>
        <c:idx val="409"/>
        <c:marker>
          <c:symbol val="none"/>
        </c:marker>
      </c:pivotFmt>
      <c:pivotFmt>
        <c:idx val="410"/>
        <c:marker>
          <c:symbol val="none"/>
        </c:marker>
      </c:pivotFmt>
      <c:pivotFmt>
        <c:idx val="411"/>
        <c:marker>
          <c:symbol val="none"/>
        </c:marker>
      </c:pivotFmt>
      <c:pivotFmt>
        <c:idx val="412"/>
        <c:marker>
          <c:symbol val="none"/>
        </c:marker>
      </c:pivotFmt>
      <c:pivotFmt>
        <c:idx val="413"/>
        <c:marker>
          <c:symbol val="none"/>
        </c:marker>
      </c:pivotFmt>
      <c:pivotFmt>
        <c:idx val="414"/>
        <c:marker>
          <c:symbol val="none"/>
        </c:marker>
      </c:pivotFmt>
      <c:pivotFmt>
        <c:idx val="415"/>
        <c:marker>
          <c:symbol val="none"/>
        </c:marker>
      </c:pivotFmt>
      <c:pivotFmt>
        <c:idx val="416"/>
        <c:marker>
          <c:symbol val="none"/>
        </c:marker>
      </c:pivotFmt>
      <c:pivotFmt>
        <c:idx val="417"/>
        <c:marker>
          <c:symbol val="none"/>
        </c:marker>
      </c:pivotFmt>
      <c:pivotFmt>
        <c:idx val="418"/>
        <c:marker>
          <c:symbol val="none"/>
        </c:marker>
      </c:pivotFmt>
      <c:pivotFmt>
        <c:idx val="419"/>
        <c:marker>
          <c:symbol val="none"/>
        </c:marker>
      </c:pivotFmt>
      <c:pivotFmt>
        <c:idx val="420"/>
        <c:marker>
          <c:symbol val="none"/>
        </c:marker>
      </c:pivotFmt>
      <c:pivotFmt>
        <c:idx val="421"/>
        <c:marker>
          <c:symbol val="none"/>
        </c:marker>
      </c:pivotFmt>
      <c:pivotFmt>
        <c:idx val="422"/>
        <c:marker>
          <c:symbol val="none"/>
        </c:marker>
      </c:pivotFmt>
      <c:pivotFmt>
        <c:idx val="423"/>
        <c:marker>
          <c:symbol val="none"/>
        </c:marker>
      </c:pivotFmt>
      <c:pivotFmt>
        <c:idx val="424"/>
        <c:marker>
          <c:symbol val="none"/>
        </c:marker>
      </c:pivotFmt>
      <c:pivotFmt>
        <c:idx val="425"/>
        <c:marker>
          <c:symbol val="none"/>
        </c:marker>
      </c:pivotFmt>
      <c:pivotFmt>
        <c:idx val="426"/>
        <c:marker>
          <c:symbol val="none"/>
        </c:marker>
      </c:pivotFmt>
      <c:pivotFmt>
        <c:idx val="427"/>
        <c:marker>
          <c:symbol val="none"/>
        </c:marker>
      </c:pivotFmt>
      <c:pivotFmt>
        <c:idx val="428"/>
        <c:marker>
          <c:symbol val="none"/>
        </c:marker>
      </c:pivotFmt>
      <c:pivotFmt>
        <c:idx val="429"/>
        <c:marker>
          <c:symbol val="none"/>
        </c:marker>
      </c:pivotFmt>
      <c:pivotFmt>
        <c:idx val="430"/>
        <c:marker>
          <c:symbol val="none"/>
        </c:marker>
      </c:pivotFmt>
      <c:pivotFmt>
        <c:idx val="431"/>
        <c:marker>
          <c:symbol val="none"/>
        </c:marker>
      </c:pivotFmt>
      <c:pivotFmt>
        <c:idx val="432"/>
        <c:marker>
          <c:symbol val="none"/>
        </c:marker>
      </c:pivotFmt>
      <c:pivotFmt>
        <c:idx val="433"/>
        <c:marker>
          <c:symbol val="none"/>
        </c:marker>
      </c:pivotFmt>
      <c:pivotFmt>
        <c:idx val="434"/>
        <c:marker>
          <c:symbol val="none"/>
        </c:marker>
      </c:pivotFmt>
      <c:pivotFmt>
        <c:idx val="435"/>
        <c:marker>
          <c:symbol val="none"/>
        </c:marker>
      </c:pivotFmt>
      <c:pivotFmt>
        <c:idx val="436"/>
        <c:marker>
          <c:symbol val="none"/>
        </c:marker>
      </c:pivotFmt>
      <c:pivotFmt>
        <c:idx val="437"/>
        <c:marker>
          <c:symbol val="none"/>
        </c:marker>
      </c:pivotFmt>
      <c:pivotFmt>
        <c:idx val="438"/>
        <c:marker>
          <c:symbol val="none"/>
        </c:marker>
      </c:pivotFmt>
      <c:pivotFmt>
        <c:idx val="439"/>
        <c:marker>
          <c:symbol val="none"/>
        </c:marker>
      </c:pivotFmt>
      <c:pivotFmt>
        <c:idx val="440"/>
        <c:marker>
          <c:symbol val="none"/>
        </c:marker>
      </c:pivotFmt>
      <c:pivotFmt>
        <c:idx val="441"/>
        <c:marker>
          <c:symbol val="none"/>
        </c:marker>
      </c:pivotFmt>
      <c:pivotFmt>
        <c:idx val="442"/>
        <c:marker>
          <c:symbol val="none"/>
        </c:marker>
      </c:pivotFmt>
      <c:pivotFmt>
        <c:idx val="443"/>
        <c:marker>
          <c:symbol val="none"/>
        </c:marker>
      </c:pivotFmt>
      <c:pivotFmt>
        <c:idx val="444"/>
        <c:marker>
          <c:symbol val="none"/>
        </c:marker>
      </c:pivotFmt>
      <c:pivotFmt>
        <c:idx val="445"/>
        <c:marker>
          <c:symbol val="none"/>
        </c:marker>
      </c:pivotFmt>
      <c:pivotFmt>
        <c:idx val="446"/>
        <c:marker>
          <c:symbol val="none"/>
        </c:marker>
      </c:pivotFmt>
      <c:pivotFmt>
        <c:idx val="447"/>
        <c:marker>
          <c:symbol val="none"/>
        </c:marker>
      </c:pivotFmt>
      <c:pivotFmt>
        <c:idx val="448"/>
        <c:marker>
          <c:symbol val="none"/>
        </c:marker>
      </c:pivotFmt>
      <c:pivotFmt>
        <c:idx val="449"/>
        <c:marker>
          <c:symbol val="none"/>
        </c:marker>
      </c:pivotFmt>
      <c:pivotFmt>
        <c:idx val="450"/>
        <c:marker>
          <c:symbol val="none"/>
        </c:marker>
      </c:pivotFmt>
      <c:pivotFmt>
        <c:idx val="451"/>
        <c:marker>
          <c:symbol val="none"/>
        </c:marker>
      </c:pivotFmt>
      <c:pivotFmt>
        <c:idx val="452"/>
        <c:marker>
          <c:symbol val="none"/>
        </c:marker>
      </c:pivotFmt>
      <c:pivotFmt>
        <c:idx val="453"/>
        <c:marker>
          <c:symbol val="none"/>
        </c:marker>
      </c:pivotFmt>
      <c:pivotFmt>
        <c:idx val="454"/>
        <c:marker>
          <c:symbol val="none"/>
        </c:marker>
      </c:pivotFmt>
      <c:pivotFmt>
        <c:idx val="455"/>
        <c:marker>
          <c:symbol val="none"/>
        </c:marker>
      </c:pivotFmt>
      <c:pivotFmt>
        <c:idx val="456"/>
        <c:marker>
          <c:symbol val="none"/>
        </c:marker>
      </c:pivotFmt>
      <c:pivotFmt>
        <c:idx val="457"/>
        <c:marker>
          <c:symbol val="none"/>
        </c:marker>
      </c:pivotFmt>
      <c:pivotFmt>
        <c:idx val="458"/>
        <c:marker>
          <c:symbol val="none"/>
        </c:marker>
      </c:pivotFmt>
      <c:pivotFmt>
        <c:idx val="459"/>
        <c:marker>
          <c:symbol val="none"/>
        </c:marker>
      </c:pivotFmt>
      <c:pivotFmt>
        <c:idx val="460"/>
        <c:marker>
          <c:symbol val="none"/>
        </c:marker>
      </c:pivotFmt>
      <c:pivotFmt>
        <c:idx val="461"/>
        <c:marker>
          <c:symbol val="none"/>
        </c:marker>
      </c:pivotFmt>
      <c:pivotFmt>
        <c:idx val="462"/>
        <c:marker>
          <c:symbol val="none"/>
        </c:marker>
      </c:pivotFmt>
      <c:pivotFmt>
        <c:idx val="463"/>
        <c:marker>
          <c:symbol val="none"/>
        </c:marker>
      </c:pivotFmt>
      <c:pivotFmt>
        <c:idx val="464"/>
        <c:marker>
          <c:symbol val="none"/>
        </c:marker>
      </c:pivotFmt>
      <c:pivotFmt>
        <c:idx val="465"/>
        <c:marker>
          <c:symbol val="none"/>
        </c:marker>
      </c:pivotFmt>
      <c:pivotFmt>
        <c:idx val="466"/>
        <c:marker>
          <c:symbol val="none"/>
        </c:marker>
      </c:pivotFmt>
      <c:pivotFmt>
        <c:idx val="467"/>
        <c:marker>
          <c:symbol val="none"/>
        </c:marker>
      </c:pivotFmt>
      <c:pivotFmt>
        <c:idx val="468"/>
        <c:marker>
          <c:symbol val="none"/>
        </c:marker>
      </c:pivotFmt>
      <c:pivotFmt>
        <c:idx val="469"/>
        <c:marker>
          <c:symbol val="none"/>
        </c:marker>
      </c:pivotFmt>
      <c:pivotFmt>
        <c:idx val="470"/>
        <c:marker>
          <c:symbol val="none"/>
        </c:marker>
      </c:pivotFmt>
      <c:pivotFmt>
        <c:idx val="471"/>
        <c:marker>
          <c:symbol val="none"/>
        </c:marker>
      </c:pivotFmt>
      <c:pivotFmt>
        <c:idx val="472"/>
        <c:marker>
          <c:symbol val="none"/>
        </c:marker>
      </c:pivotFmt>
      <c:pivotFmt>
        <c:idx val="473"/>
        <c:marker>
          <c:symbol val="none"/>
        </c:marker>
      </c:pivotFmt>
      <c:pivotFmt>
        <c:idx val="474"/>
        <c:marker>
          <c:symbol val="none"/>
        </c:marker>
      </c:pivotFmt>
      <c:pivotFmt>
        <c:idx val="475"/>
        <c:marker>
          <c:symbol val="none"/>
        </c:marker>
      </c:pivotFmt>
      <c:pivotFmt>
        <c:idx val="476"/>
        <c:marker>
          <c:symbol val="none"/>
        </c:marker>
      </c:pivotFmt>
      <c:pivotFmt>
        <c:idx val="477"/>
        <c:marker>
          <c:symbol val="none"/>
        </c:marker>
      </c:pivotFmt>
      <c:pivotFmt>
        <c:idx val="478"/>
        <c:marker>
          <c:symbol val="none"/>
        </c:marker>
      </c:pivotFmt>
      <c:pivotFmt>
        <c:idx val="479"/>
        <c:marker>
          <c:symbol val="none"/>
        </c:marker>
      </c:pivotFmt>
      <c:pivotFmt>
        <c:idx val="480"/>
        <c:marker>
          <c:symbol val="none"/>
        </c:marker>
      </c:pivotFmt>
      <c:pivotFmt>
        <c:idx val="481"/>
        <c:marker>
          <c:symbol val="none"/>
        </c:marker>
      </c:pivotFmt>
      <c:pivotFmt>
        <c:idx val="482"/>
        <c:marker>
          <c:symbol val="none"/>
        </c:marker>
      </c:pivotFmt>
      <c:pivotFmt>
        <c:idx val="483"/>
        <c:marker>
          <c:symbol val="none"/>
        </c:marker>
      </c:pivotFmt>
      <c:pivotFmt>
        <c:idx val="484"/>
        <c:marker>
          <c:symbol val="none"/>
        </c:marker>
      </c:pivotFmt>
      <c:pivotFmt>
        <c:idx val="485"/>
        <c:marker>
          <c:symbol val="none"/>
        </c:marker>
      </c:pivotFmt>
      <c:pivotFmt>
        <c:idx val="486"/>
        <c:marker>
          <c:symbol val="none"/>
        </c:marker>
      </c:pivotFmt>
      <c:pivotFmt>
        <c:idx val="487"/>
        <c:marker>
          <c:symbol val="none"/>
        </c:marker>
      </c:pivotFmt>
      <c:pivotFmt>
        <c:idx val="488"/>
        <c:marker>
          <c:symbol val="none"/>
        </c:marker>
      </c:pivotFmt>
      <c:pivotFmt>
        <c:idx val="489"/>
        <c:marker>
          <c:symbol val="none"/>
        </c:marker>
      </c:pivotFmt>
      <c:pivotFmt>
        <c:idx val="490"/>
        <c:marker>
          <c:symbol val="none"/>
        </c:marker>
      </c:pivotFmt>
      <c:pivotFmt>
        <c:idx val="491"/>
        <c:marker>
          <c:symbol val="none"/>
        </c:marker>
      </c:pivotFmt>
      <c:pivotFmt>
        <c:idx val="492"/>
        <c:marker>
          <c:symbol val="none"/>
        </c:marker>
      </c:pivotFmt>
      <c:pivotFmt>
        <c:idx val="493"/>
        <c:marker>
          <c:symbol val="none"/>
        </c:marker>
      </c:pivotFmt>
      <c:pivotFmt>
        <c:idx val="494"/>
        <c:marker>
          <c:symbol val="none"/>
        </c:marker>
      </c:pivotFmt>
      <c:pivotFmt>
        <c:idx val="495"/>
        <c:marker>
          <c:symbol val="none"/>
        </c:marker>
      </c:pivotFmt>
      <c:pivotFmt>
        <c:idx val="496"/>
        <c:marker>
          <c:symbol val="none"/>
        </c:marker>
      </c:pivotFmt>
      <c:pivotFmt>
        <c:idx val="497"/>
        <c:marker>
          <c:symbol val="none"/>
        </c:marker>
      </c:pivotFmt>
      <c:pivotFmt>
        <c:idx val="498"/>
        <c:marker>
          <c:symbol val="none"/>
        </c:marker>
      </c:pivotFmt>
      <c:pivotFmt>
        <c:idx val="499"/>
        <c:marker>
          <c:symbol val="none"/>
        </c:marker>
      </c:pivotFmt>
      <c:pivotFmt>
        <c:idx val="500"/>
        <c:marker>
          <c:symbol val="none"/>
        </c:marker>
      </c:pivotFmt>
      <c:pivotFmt>
        <c:idx val="501"/>
        <c:marker>
          <c:symbol val="none"/>
        </c:marker>
      </c:pivotFmt>
      <c:pivotFmt>
        <c:idx val="502"/>
        <c:marker>
          <c:symbol val="none"/>
        </c:marker>
      </c:pivotFmt>
      <c:pivotFmt>
        <c:idx val="503"/>
        <c:marker>
          <c:symbol val="none"/>
        </c:marker>
      </c:pivotFmt>
      <c:pivotFmt>
        <c:idx val="504"/>
        <c:marker>
          <c:symbol val="none"/>
        </c:marker>
      </c:pivotFmt>
      <c:pivotFmt>
        <c:idx val="505"/>
        <c:marker>
          <c:symbol val="none"/>
        </c:marker>
      </c:pivotFmt>
      <c:pivotFmt>
        <c:idx val="506"/>
        <c:marker>
          <c:symbol val="none"/>
        </c:marker>
      </c:pivotFmt>
      <c:pivotFmt>
        <c:idx val="507"/>
        <c:marker>
          <c:symbol val="none"/>
        </c:marker>
      </c:pivotFmt>
      <c:pivotFmt>
        <c:idx val="508"/>
        <c:marker>
          <c:symbol val="none"/>
        </c:marker>
      </c:pivotFmt>
      <c:pivotFmt>
        <c:idx val="509"/>
        <c:marker>
          <c:symbol val="none"/>
        </c:marker>
      </c:pivotFmt>
      <c:pivotFmt>
        <c:idx val="510"/>
        <c:marker>
          <c:symbol val="none"/>
        </c:marker>
      </c:pivotFmt>
      <c:pivotFmt>
        <c:idx val="511"/>
        <c:marker>
          <c:symbol val="none"/>
        </c:marker>
      </c:pivotFmt>
      <c:pivotFmt>
        <c:idx val="512"/>
        <c:marker>
          <c:symbol val="none"/>
        </c:marker>
      </c:pivotFmt>
      <c:pivotFmt>
        <c:idx val="513"/>
        <c:marker>
          <c:symbol val="none"/>
        </c:marker>
      </c:pivotFmt>
      <c:pivotFmt>
        <c:idx val="514"/>
        <c:marker>
          <c:symbol val="none"/>
        </c:marker>
      </c:pivotFmt>
      <c:pivotFmt>
        <c:idx val="515"/>
        <c:marker>
          <c:symbol val="none"/>
        </c:marker>
      </c:pivotFmt>
      <c:pivotFmt>
        <c:idx val="516"/>
        <c:marker>
          <c:symbol val="none"/>
        </c:marker>
      </c:pivotFmt>
      <c:pivotFmt>
        <c:idx val="517"/>
        <c:marker>
          <c:symbol val="none"/>
        </c:marker>
      </c:pivotFmt>
      <c:pivotFmt>
        <c:idx val="518"/>
        <c:marker>
          <c:symbol val="none"/>
        </c:marker>
      </c:pivotFmt>
      <c:pivotFmt>
        <c:idx val="519"/>
        <c:marker>
          <c:symbol val="none"/>
        </c:marker>
      </c:pivotFmt>
      <c:pivotFmt>
        <c:idx val="520"/>
        <c:marker>
          <c:symbol val="none"/>
        </c:marker>
      </c:pivotFmt>
      <c:pivotFmt>
        <c:idx val="521"/>
        <c:marker>
          <c:symbol val="none"/>
        </c:marker>
      </c:pivotFmt>
      <c:pivotFmt>
        <c:idx val="522"/>
        <c:marker>
          <c:symbol val="none"/>
        </c:marker>
      </c:pivotFmt>
      <c:pivotFmt>
        <c:idx val="523"/>
        <c:marker>
          <c:symbol val="none"/>
        </c:marker>
      </c:pivotFmt>
      <c:pivotFmt>
        <c:idx val="524"/>
        <c:marker>
          <c:symbol val="none"/>
        </c:marker>
      </c:pivotFmt>
      <c:pivotFmt>
        <c:idx val="525"/>
        <c:marker>
          <c:symbol val="none"/>
        </c:marker>
      </c:pivotFmt>
      <c:pivotFmt>
        <c:idx val="526"/>
        <c:marker>
          <c:symbol val="none"/>
        </c:marker>
      </c:pivotFmt>
      <c:pivotFmt>
        <c:idx val="527"/>
        <c:marker>
          <c:symbol val="none"/>
        </c:marker>
      </c:pivotFmt>
      <c:pivotFmt>
        <c:idx val="528"/>
        <c:marker>
          <c:symbol val="none"/>
        </c:marker>
      </c:pivotFmt>
      <c:pivotFmt>
        <c:idx val="529"/>
        <c:marker>
          <c:symbol val="none"/>
        </c:marker>
      </c:pivotFmt>
      <c:pivotFmt>
        <c:idx val="530"/>
        <c:marker>
          <c:symbol val="none"/>
        </c:marker>
      </c:pivotFmt>
      <c:pivotFmt>
        <c:idx val="531"/>
        <c:marker>
          <c:symbol val="none"/>
        </c:marker>
      </c:pivotFmt>
      <c:pivotFmt>
        <c:idx val="532"/>
        <c:marker>
          <c:symbol val="none"/>
        </c:marker>
      </c:pivotFmt>
      <c:pivotFmt>
        <c:idx val="533"/>
        <c:marker>
          <c:symbol val="none"/>
        </c:marker>
      </c:pivotFmt>
      <c:pivotFmt>
        <c:idx val="534"/>
        <c:marker>
          <c:symbol val="none"/>
        </c:marker>
      </c:pivotFmt>
      <c:pivotFmt>
        <c:idx val="535"/>
        <c:marker>
          <c:symbol val="none"/>
        </c:marker>
      </c:pivotFmt>
      <c:pivotFmt>
        <c:idx val="536"/>
        <c:marker>
          <c:symbol val="none"/>
        </c:marker>
      </c:pivotFmt>
      <c:pivotFmt>
        <c:idx val="537"/>
        <c:marker>
          <c:symbol val="none"/>
        </c:marker>
      </c:pivotFmt>
      <c:pivotFmt>
        <c:idx val="538"/>
        <c:marker>
          <c:symbol val="none"/>
        </c:marker>
      </c:pivotFmt>
      <c:pivotFmt>
        <c:idx val="539"/>
        <c:marker>
          <c:symbol val="none"/>
        </c:marker>
      </c:pivotFmt>
      <c:pivotFmt>
        <c:idx val="540"/>
        <c:marker>
          <c:symbol val="none"/>
        </c:marker>
      </c:pivotFmt>
      <c:pivotFmt>
        <c:idx val="541"/>
        <c:marker>
          <c:symbol val="none"/>
        </c:marker>
      </c:pivotFmt>
      <c:pivotFmt>
        <c:idx val="542"/>
        <c:marker>
          <c:symbol val="none"/>
        </c:marker>
      </c:pivotFmt>
      <c:pivotFmt>
        <c:idx val="543"/>
        <c:marker>
          <c:symbol val="none"/>
        </c:marker>
      </c:pivotFmt>
      <c:pivotFmt>
        <c:idx val="544"/>
        <c:marker>
          <c:symbol val="none"/>
        </c:marker>
      </c:pivotFmt>
      <c:pivotFmt>
        <c:idx val="545"/>
        <c:marker>
          <c:symbol val="none"/>
        </c:marker>
      </c:pivotFmt>
      <c:pivotFmt>
        <c:idx val="546"/>
        <c:marker>
          <c:symbol val="none"/>
        </c:marker>
      </c:pivotFmt>
      <c:pivotFmt>
        <c:idx val="547"/>
        <c:marker>
          <c:symbol val="none"/>
        </c:marker>
      </c:pivotFmt>
      <c:pivotFmt>
        <c:idx val="548"/>
        <c:marker>
          <c:symbol val="none"/>
        </c:marker>
      </c:pivotFmt>
      <c:pivotFmt>
        <c:idx val="549"/>
        <c:marker>
          <c:symbol val="none"/>
        </c:marker>
      </c:pivotFmt>
      <c:pivotFmt>
        <c:idx val="550"/>
        <c:marker>
          <c:symbol val="none"/>
        </c:marker>
      </c:pivotFmt>
      <c:pivotFmt>
        <c:idx val="551"/>
        <c:marker>
          <c:symbol val="none"/>
        </c:marker>
      </c:pivotFmt>
      <c:pivotFmt>
        <c:idx val="552"/>
        <c:marker>
          <c:symbol val="none"/>
        </c:marker>
      </c:pivotFmt>
      <c:pivotFmt>
        <c:idx val="553"/>
        <c:marker>
          <c:symbol val="none"/>
        </c:marker>
      </c:pivotFmt>
      <c:pivotFmt>
        <c:idx val="554"/>
        <c:marker>
          <c:symbol val="none"/>
        </c:marker>
      </c:pivotFmt>
      <c:pivotFmt>
        <c:idx val="555"/>
        <c:marker>
          <c:symbol val="none"/>
        </c:marker>
      </c:pivotFmt>
      <c:pivotFmt>
        <c:idx val="556"/>
        <c:marker>
          <c:symbol val="none"/>
        </c:marker>
      </c:pivotFmt>
      <c:pivotFmt>
        <c:idx val="557"/>
        <c:marker>
          <c:symbol val="none"/>
        </c:marker>
      </c:pivotFmt>
      <c:pivotFmt>
        <c:idx val="558"/>
        <c:marker>
          <c:symbol val="none"/>
        </c:marker>
      </c:pivotFmt>
      <c:pivotFmt>
        <c:idx val="559"/>
        <c:marker>
          <c:symbol val="none"/>
        </c:marker>
      </c:pivotFmt>
      <c:pivotFmt>
        <c:idx val="560"/>
        <c:marker>
          <c:symbol val="none"/>
        </c:marker>
      </c:pivotFmt>
      <c:pivotFmt>
        <c:idx val="561"/>
        <c:marker>
          <c:symbol val="none"/>
        </c:marker>
      </c:pivotFmt>
      <c:pivotFmt>
        <c:idx val="562"/>
        <c:marker>
          <c:symbol val="none"/>
        </c:marker>
      </c:pivotFmt>
      <c:pivotFmt>
        <c:idx val="563"/>
        <c:marker>
          <c:symbol val="none"/>
        </c:marker>
      </c:pivotFmt>
      <c:pivotFmt>
        <c:idx val="564"/>
        <c:marker>
          <c:symbol val="none"/>
        </c:marker>
      </c:pivotFmt>
      <c:pivotFmt>
        <c:idx val="565"/>
        <c:marker>
          <c:symbol val="none"/>
        </c:marker>
      </c:pivotFmt>
      <c:pivotFmt>
        <c:idx val="566"/>
        <c:marker>
          <c:symbol val="none"/>
        </c:marker>
      </c:pivotFmt>
      <c:pivotFmt>
        <c:idx val="567"/>
        <c:marker>
          <c:symbol val="none"/>
        </c:marker>
      </c:pivotFmt>
      <c:pivotFmt>
        <c:idx val="568"/>
        <c:marker>
          <c:symbol val="none"/>
        </c:marker>
      </c:pivotFmt>
      <c:pivotFmt>
        <c:idx val="569"/>
        <c:marker>
          <c:symbol val="none"/>
        </c:marker>
      </c:pivotFmt>
      <c:pivotFmt>
        <c:idx val="570"/>
        <c:marker>
          <c:symbol val="none"/>
        </c:marker>
      </c:pivotFmt>
      <c:pivotFmt>
        <c:idx val="571"/>
        <c:marker>
          <c:symbol val="none"/>
        </c:marker>
      </c:pivotFmt>
      <c:pivotFmt>
        <c:idx val="572"/>
        <c:marker>
          <c:symbol val="none"/>
        </c:marker>
      </c:pivotFmt>
      <c:pivotFmt>
        <c:idx val="573"/>
        <c:marker>
          <c:symbol val="none"/>
        </c:marker>
      </c:pivotFmt>
      <c:pivotFmt>
        <c:idx val="574"/>
        <c:marker>
          <c:symbol val="none"/>
        </c:marker>
      </c:pivotFmt>
      <c:pivotFmt>
        <c:idx val="575"/>
        <c:marker>
          <c:symbol val="none"/>
        </c:marker>
      </c:pivotFmt>
      <c:pivotFmt>
        <c:idx val="576"/>
        <c:marker>
          <c:symbol val="none"/>
        </c:marker>
      </c:pivotFmt>
      <c:pivotFmt>
        <c:idx val="577"/>
        <c:marker>
          <c:symbol val="none"/>
        </c:marker>
      </c:pivotFmt>
      <c:pivotFmt>
        <c:idx val="578"/>
        <c:marker>
          <c:symbol val="none"/>
        </c:marker>
      </c:pivotFmt>
      <c:pivotFmt>
        <c:idx val="579"/>
        <c:marker>
          <c:symbol val="none"/>
        </c:marker>
      </c:pivotFmt>
      <c:pivotFmt>
        <c:idx val="580"/>
        <c:marker>
          <c:symbol val="none"/>
        </c:marker>
      </c:pivotFmt>
      <c:pivotFmt>
        <c:idx val="581"/>
        <c:marker>
          <c:symbol val="none"/>
        </c:marker>
      </c:pivotFmt>
      <c:pivotFmt>
        <c:idx val="582"/>
        <c:marker>
          <c:symbol val="none"/>
        </c:marker>
      </c:pivotFmt>
      <c:pivotFmt>
        <c:idx val="583"/>
        <c:marker>
          <c:symbol val="none"/>
        </c:marker>
      </c:pivotFmt>
      <c:pivotFmt>
        <c:idx val="584"/>
        <c:marker>
          <c:symbol val="none"/>
        </c:marker>
      </c:pivotFmt>
      <c:pivotFmt>
        <c:idx val="585"/>
        <c:marker>
          <c:symbol val="none"/>
        </c:marker>
      </c:pivotFmt>
      <c:pivotFmt>
        <c:idx val="586"/>
        <c:marker>
          <c:symbol val="none"/>
        </c:marker>
      </c:pivotFmt>
      <c:pivotFmt>
        <c:idx val="587"/>
        <c:marker>
          <c:symbol val="none"/>
        </c:marker>
      </c:pivotFmt>
      <c:pivotFmt>
        <c:idx val="588"/>
        <c:marker>
          <c:symbol val="none"/>
        </c:marker>
      </c:pivotFmt>
      <c:pivotFmt>
        <c:idx val="589"/>
        <c:marker>
          <c:symbol val="none"/>
        </c:marker>
      </c:pivotFmt>
      <c:pivotFmt>
        <c:idx val="590"/>
        <c:marker>
          <c:symbol val="none"/>
        </c:marker>
      </c:pivotFmt>
      <c:pivotFmt>
        <c:idx val="591"/>
        <c:marker>
          <c:symbol val="none"/>
        </c:marker>
      </c:pivotFmt>
      <c:pivotFmt>
        <c:idx val="592"/>
        <c:marker>
          <c:symbol val="none"/>
        </c:marker>
      </c:pivotFmt>
      <c:pivotFmt>
        <c:idx val="593"/>
        <c:marker>
          <c:symbol val="none"/>
        </c:marker>
      </c:pivotFmt>
      <c:pivotFmt>
        <c:idx val="594"/>
        <c:marker>
          <c:symbol val="none"/>
        </c:marker>
      </c:pivotFmt>
      <c:pivotFmt>
        <c:idx val="595"/>
        <c:marker>
          <c:symbol val="none"/>
        </c:marker>
      </c:pivotFmt>
      <c:pivotFmt>
        <c:idx val="596"/>
        <c:marker>
          <c:symbol val="none"/>
        </c:marker>
      </c:pivotFmt>
      <c:pivotFmt>
        <c:idx val="597"/>
        <c:marker>
          <c:symbol val="none"/>
        </c:marker>
      </c:pivotFmt>
      <c:pivotFmt>
        <c:idx val="598"/>
        <c:marker>
          <c:symbol val="none"/>
        </c:marker>
      </c:pivotFmt>
      <c:pivotFmt>
        <c:idx val="599"/>
        <c:marker>
          <c:symbol val="none"/>
        </c:marker>
      </c:pivotFmt>
      <c:pivotFmt>
        <c:idx val="600"/>
        <c:marker>
          <c:symbol val="none"/>
        </c:marker>
      </c:pivotFmt>
      <c:pivotFmt>
        <c:idx val="601"/>
        <c:marker>
          <c:symbol val="none"/>
        </c:marker>
      </c:pivotFmt>
      <c:pivotFmt>
        <c:idx val="602"/>
        <c:marker>
          <c:symbol val="none"/>
        </c:marker>
      </c:pivotFmt>
      <c:pivotFmt>
        <c:idx val="603"/>
        <c:marker>
          <c:symbol val="none"/>
        </c:marker>
      </c:pivotFmt>
      <c:pivotFmt>
        <c:idx val="604"/>
        <c:marker>
          <c:symbol val="none"/>
        </c:marker>
      </c:pivotFmt>
      <c:pivotFmt>
        <c:idx val="605"/>
        <c:marker>
          <c:symbol val="none"/>
        </c:marker>
      </c:pivotFmt>
      <c:pivotFmt>
        <c:idx val="606"/>
        <c:marker>
          <c:symbol val="none"/>
        </c:marker>
      </c:pivotFmt>
      <c:pivotFmt>
        <c:idx val="607"/>
        <c:marker>
          <c:symbol val="none"/>
        </c:marker>
      </c:pivotFmt>
      <c:pivotFmt>
        <c:idx val="608"/>
        <c:marker>
          <c:symbol val="none"/>
        </c:marker>
      </c:pivotFmt>
      <c:pivotFmt>
        <c:idx val="609"/>
        <c:marker>
          <c:symbol val="none"/>
        </c:marker>
      </c:pivotFmt>
      <c:pivotFmt>
        <c:idx val="610"/>
        <c:marker>
          <c:symbol val="none"/>
        </c:marker>
      </c:pivotFmt>
      <c:pivotFmt>
        <c:idx val="611"/>
        <c:marker>
          <c:symbol val="none"/>
        </c:marker>
      </c:pivotFmt>
      <c:pivotFmt>
        <c:idx val="612"/>
        <c:marker>
          <c:symbol val="none"/>
        </c:marker>
      </c:pivotFmt>
      <c:pivotFmt>
        <c:idx val="613"/>
        <c:marker>
          <c:symbol val="none"/>
        </c:marker>
      </c:pivotFmt>
      <c:pivotFmt>
        <c:idx val="614"/>
        <c:marker>
          <c:symbol val="none"/>
        </c:marker>
      </c:pivotFmt>
      <c:pivotFmt>
        <c:idx val="615"/>
        <c:marker>
          <c:symbol val="none"/>
        </c:marker>
      </c:pivotFmt>
      <c:pivotFmt>
        <c:idx val="616"/>
        <c:marker>
          <c:symbol val="none"/>
        </c:marker>
      </c:pivotFmt>
      <c:pivotFmt>
        <c:idx val="617"/>
        <c:marker>
          <c:symbol val="none"/>
        </c:marker>
      </c:pivotFmt>
      <c:pivotFmt>
        <c:idx val="618"/>
        <c:marker>
          <c:symbol val="none"/>
        </c:marker>
      </c:pivotFmt>
      <c:pivotFmt>
        <c:idx val="619"/>
        <c:marker>
          <c:symbol val="none"/>
        </c:marker>
      </c:pivotFmt>
      <c:pivotFmt>
        <c:idx val="620"/>
        <c:marker>
          <c:symbol val="none"/>
        </c:marker>
      </c:pivotFmt>
      <c:pivotFmt>
        <c:idx val="621"/>
        <c:marker>
          <c:symbol val="none"/>
        </c:marker>
      </c:pivotFmt>
      <c:pivotFmt>
        <c:idx val="622"/>
        <c:marker>
          <c:symbol val="none"/>
        </c:marker>
      </c:pivotFmt>
      <c:pivotFmt>
        <c:idx val="623"/>
        <c:marker>
          <c:symbol val="none"/>
        </c:marker>
      </c:pivotFmt>
      <c:pivotFmt>
        <c:idx val="624"/>
        <c:marker>
          <c:symbol val="none"/>
        </c:marker>
      </c:pivotFmt>
      <c:pivotFmt>
        <c:idx val="625"/>
        <c:marker>
          <c:symbol val="none"/>
        </c:marker>
      </c:pivotFmt>
      <c:pivotFmt>
        <c:idx val="626"/>
        <c:marker>
          <c:symbol val="none"/>
        </c:marker>
      </c:pivotFmt>
      <c:pivotFmt>
        <c:idx val="627"/>
        <c:marker>
          <c:symbol val="none"/>
        </c:marker>
      </c:pivotFmt>
      <c:pivotFmt>
        <c:idx val="628"/>
        <c:marker>
          <c:symbol val="none"/>
        </c:marker>
      </c:pivotFmt>
      <c:pivotFmt>
        <c:idx val="629"/>
        <c:marker>
          <c:symbol val="none"/>
        </c:marker>
      </c:pivotFmt>
      <c:pivotFmt>
        <c:idx val="630"/>
        <c:marker>
          <c:symbol val="none"/>
        </c:marker>
      </c:pivotFmt>
      <c:pivotFmt>
        <c:idx val="631"/>
        <c:marker>
          <c:symbol val="none"/>
        </c:marker>
      </c:pivotFmt>
      <c:pivotFmt>
        <c:idx val="632"/>
        <c:marker>
          <c:symbol val="none"/>
        </c:marker>
      </c:pivotFmt>
      <c:pivotFmt>
        <c:idx val="633"/>
        <c:marker>
          <c:symbol val="none"/>
        </c:marker>
      </c:pivotFmt>
      <c:pivotFmt>
        <c:idx val="634"/>
        <c:marker>
          <c:symbol val="none"/>
        </c:marker>
      </c:pivotFmt>
      <c:pivotFmt>
        <c:idx val="635"/>
        <c:marker>
          <c:symbol val="none"/>
        </c:marker>
      </c:pivotFmt>
      <c:pivotFmt>
        <c:idx val="636"/>
        <c:marker>
          <c:symbol val="none"/>
        </c:marker>
      </c:pivotFmt>
      <c:pivotFmt>
        <c:idx val="637"/>
        <c:marker>
          <c:symbol val="none"/>
        </c:marker>
      </c:pivotFmt>
      <c:pivotFmt>
        <c:idx val="638"/>
        <c:marker>
          <c:symbol val="none"/>
        </c:marker>
      </c:pivotFmt>
      <c:pivotFmt>
        <c:idx val="639"/>
        <c:marker>
          <c:symbol val="none"/>
        </c:marker>
      </c:pivotFmt>
      <c:pivotFmt>
        <c:idx val="640"/>
        <c:marker>
          <c:symbol val="none"/>
        </c:marker>
      </c:pivotFmt>
      <c:pivotFmt>
        <c:idx val="641"/>
        <c:marker>
          <c:symbol val="none"/>
        </c:marker>
      </c:pivotFmt>
      <c:pivotFmt>
        <c:idx val="642"/>
        <c:marker>
          <c:symbol val="none"/>
        </c:marker>
      </c:pivotFmt>
      <c:pivotFmt>
        <c:idx val="643"/>
        <c:marker>
          <c:symbol val="none"/>
        </c:marker>
      </c:pivotFmt>
      <c:pivotFmt>
        <c:idx val="644"/>
        <c:marker>
          <c:symbol val="none"/>
        </c:marker>
      </c:pivotFmt>
      <c:pivotFmt>
        <c:idx val="645"/>
        <c:marker>
          <c:symbol val="none"/>
        </c:marker>
      </c:pivotFmt>
      <c:pivotFmt>
        <c:idx val="646"/>
        <c:marker>
          <c:symbol val="none"/>
        </c:marker>
      </c:pivotFmt>
      <c:pivotFmt>
        <c:idx val="647"/>
        <c:marker>
          <c:symbol val="none"/>
        </c:marker>
      </c:pivotFmt>
      <c:pivotFmt>
        <c:idx val="648"/>
        <c:marker>
          <c:symbol val="none"/>
        </c:marker>
      </c:pivotFmt>
      <c:pivotFmt>
        <c:idx val="649"/>
        <c:marker>
          <c:symbol val="none"/>
        </c:marker>
      </c:pivotFmt>
      <c:pivotFmt>
        <c:idx val="650"/>
        <c:marker>
          <c:symbol val="none"/>
        </c:marker>
      </c:pivotFmt>
      <c:pivotFmt>
        <c:idx val="651"/>
        <c:marker>
          <c:symbol val="none"/>
        </c:marker>
      </c:pivotFmt>
      <c:pivotFmt>
        <c:idx val="652"/>
        <c:marker>
          <c:symbol val="none"/>
        </c:marker>
      </c:pivotFmt>
      <c:pivotFmt>
        <c:idx val="653"/>
        <c:marker>
          <c:symbol val="none"/>
        </c:marker>
      </c:pivotFmt>
      <c:pivotFmt>
        <c:idx val="654"/>
        <c:marker>
          <c:symbol val="none"/>
        </c:marker>
      </c:pivotFmt>
      <c:pivotFmt>
        <c:idx val="655"/>
        <c:marker>
          <c:symbol val="none"/>
        </c:marker>
      </c:pivotFmt>
      <c:pivotFmt>
        <c:idx val="656"/>
        <c:marker>
          <c:symbol val="none"/>
        </c:marker>
      </c:pivotFmt>
      <c:pivotFmt>
        <c:idx val="657"/>
        <c:marker>
          <c:symbol val="none"/>
        </c:marker>
      </c:pivotFmt>
      <c:pivotFmt>
        <c:idx val="658"/>
        <c:marker>
          <c:symbol val="none"/>
        </c:marker>
      </c:pivotFmt>
      <c:pivotFmt>
        <c:idx val="659"/>
        <c:marker>
          <c:symbol val="none"/>
        </c:marker>
      </c:pivotFmt>
      <c:pivotFmt>
        <c:idx val="660"/>
        <c:marker>
          <c:symbol val="none"/>
        </c:marker>
      </c:pivotFmt>
      <c:pivotFmt>
        <c:idx val="661"/>
        <c:marker>
          <c:symbol val="none"/>
        </c:marker>
      </c:pivotFmt>
      <c:pivotFmt>
        <c:idx val="662"/>
        <c:marker>
          <c:symbol val="none"/>
        </c:marker>
      </c:pivotFmt>
      <c:pivotFmt>
        <c:idx val="663"/>
        <c:marker>
          <c:symbol val="none"/>
        </c:marker>
      </c:pivotFmt>
      <c:pivotFmt>
        <c:idx val="664"/>
        <c:marker>
          <c:symbol val="none"/>
        </c:marker>
      </c:pivotFmt>
      <c:pivotFmt>
        <c:idx val="665"/>
        <c:marker>
          <c:symbol val="none"/>
        </c:marker>
      </c:pivotFmt>
      <c:pivotFmt>
        <c:idx val="666"/>
        <c:marker>
          <c:symbol val="none"/>
        </c:marker>
      </c:pivotFmt>
      <c:pivotFmt>
        <c:idx val="667"/>
        <c:marker>
          <c:symbol val="none"/>
        </c:marker>
      </c:pivotFmt>
      <c:pivotFmt>
        <c:idx val="668"/>
        <c:marker>
          <c:symbol val="none"/>
        </c:marker>
      </c:pivotFmt>
      <c:pivotFmt>
        <c:idx val="669"/>
        <c:marker>
          <c:symbol val="none"/>
        </c:marker>
      </c:pivotFmt>
      <c:pivotFmt>
        <c:idx val="670"/>
        <c:marker>
          <c:symbol val="none"/>
        </c:marker>
      </c:pivotFmt>
      <c:pivotFmt>
        <c:idx val="671"/>
        <c:marker>
          <c:symbol val="none"/>
        </c:marker>
      </c:pivotFmt>
      <c:pivotFmt>
        <c:idx val="672"/>
        <c:marker>
          <c:symbol val="none"/>
        </c:marker>
      </c:pivotFmt>
      <c:pivotFmt>
        <c:idx val="673"/>
        <c:marker>
          <c:symbol val="none"/>
        </c:marker>
      </c:pivotFmt>
      <c:pivotFmt>
        <c:idx val="674"/>
        <c:marker>
          <c:symbol val="none"/>
        </c:marker>
      </c:pivotFmt>
      <c:pivotFmt>
        <c:idx val="675"/>
        <c:marker>
          <c:symbol val="none"/>
        </c:marker>
      </c:pivotFmt>
      <c:pivotFmt>
        <c:idx val="676"/>
        <c:marker>
          <c:symbol val="none"/>
        </c:marker>
      </c:pivotFmt>
      <c:pivotFmt>
        <c:idx val="677"/>
        <c:marker>
          <c:symbol val="none"/>
        </c:marker>
      </c:pivotFmt>
      <c:pivotFmt>
        <c:idx val="678"/>
        <c:marker>
          <c:symbol val="none"/>
        </c:marker>
      </c:pivotFmt>
      <c:pivotFmt>
        <c:idx val="679"/>
        <c:marker>
          <c:symbol val="none"/>
        </c:marker>
      </c:pivotFmt>
      <c:pivotFmt>
        <c:idx val="680"/>
        <c:marker>
          <c:symbol val="none"/>
        </c:marker>
      </c:pivotFmt>
      <c:pivotFmt>
        <c:idx val="681"/>
        <c:marker>
          <c:symbol val="none"/>
        </c:marker>
      </c:pivotFmt>
      <c:pivotFmt>
        <c:idx val="682"/>
        <c:marker>
          <c:symbol val="none"/>
        </c:marker>
      </c:pivotFmt>
      <c:pivotFmt>
        <c:idx val="683"/>
        <c:marker>
          <c:symbol val="none"/>
        </c:marker>
      </c:pivotFmt>
      <c:pivotFmt>
        <c:idx val="684"/>
        <c:marker>
          <c:symbol val="none"/>
        </c:marker>
      </c:pivotFmt>
      <c:pivotFmt>
        <c:idx val="685"/>
        <c:marker>
          <c:symbol val="none"/>
        </c:marker>
      </c:pivotFmt>
      <c:pivotFmt>
        <c:idx val="686"/>
        <c:marker>
          <c:symbol val="none"/>
        </c:marker>
      </c:pivotFmt>
      <c:pivotFmt>
        <c:idx val="687"/>
        <c:marker>
          <c:symbol val="none"/>
        </c:marker>
      </c:pivotFmt>
      <c:pivotFmt>
        <c:idx val="688"/>
        <c:marker>
          <c:symbol val="none"/>
        </c:marker>
      </c:pivotFmt>
      <c:pivotFmt>
        <c:idx val="689"/>
        <c:marker>
          <c:symbol val="none"/>
        </c:marker>
      </c:pivotFmt>
      <c:pivotFmt>
        <c:idx val="690"/>
        <c:marker>
          <c:symbol val="none"/>
        </c:marker>
      </c:pivotFmt>
      <c:pivotFmt>
        <c:idx val="691"/>
        <c:marker>
          <c:symbol val="none"/>
        </c:marker>
      </c:pivotFmt>
      <c:pivotFmt>
        <c:idx val="692"/>
        <c:marker>
          <c:symbol val="none"/>
        </c:marker>
      </c:pivotFmt>
      <c:pivotFmt>
        <c:idx val="693"/>
        <c:marker>
          <c:symbol val="none"/>
        </c:marker>
      </c:pivotFmt>
      <c:pivotFmt>
        <c:idx val="694"/>
        <c:marker>
          <c:symbol val="none"/>
        </c:marker>
      </c:pivotFmt>
      <c:pivotFmt>
        <c:idx val="695"/>
        <c:marker>
          <c:symbol val="none"/>
        </c:marker>
      </c:pivotFmt>
      <c:pivotFmt>
        <c:idx val="696"/>
        <c:marker>
          <c:symbol val="none"/>
        </c:marker>
      </c:pivotFmt>
      <c:pivotFmt>
        <c:idx val="697"/>
        <c:marker>
          <c:symbol val="none"/>
        </c:marker>
      </c:pivotFmt>
      <c:pivotFmt>
        <c:idx val="698"/>
        <c:marker>
          <c:symbol val="none"/>
        </c:marker>
      </c:pivotFmt>
      <c:pivotFmt>
        <c:idx val="699"/>
        <c:marker>
          <c:symbol val="none"/>
        </c:marker>
      </c:pivotFmt>
      <c:pivotFmt>
        <c:idx val="700"/>
        <c:marker>
          <c:symbol val="none"/>
        </c:marker>
      </c:pivotFmt>
      <c:pivotFmt>
        <c:idx val="701"/>
        <c:marker>
          <c:symbol val="none"/>
        </c:marker>
      </c:pivotFmt>
      <c:pivotFmt>
        <c:idx val="702"/>
        <c:marker>
          <c:symbol val="none"/>
        </c:marker>
      </c:pivotFmt>
      <c:pivotFmt>
        <c:idx val="703"/>
        <c:marker>
          <c:symbol val="none"/>
        </c:marker>
      </c:pivotFmt>
      <c:pivotFmt>
        <c:idx val="704"/>
        <c:marker>
          <c:symbol val="none"/>
        </c:marker>
      </c:pivotFmt>
      <c:pivotFmt>
        <c:idx val="705"/>
        <c:marker>
          <c:symbol val="none"/>
        </c:marker>
      </c:pivotFmt>
      <c:pivotFmt>
        <c:idx val="706"/>
        <c:marker>
          <c:symbol val="none"/>
        </c:marker>
      </c:pivotFmt>
      <c:pivotFmt>
        <c:idx val="707"/>
        <c:marker>
          <c:symbol val="none"/>
        </c:marker>
      </c:pivotFmt>
      <c:pivotFmt>
        <c:idx val="708"/>
        <c:marker>
          <c:symbol val="none"/>
        </c:marker>
      </c:pivotFmt>
      <c:pivotFmt>
        <c:idx val="709"/>
        <c:marker>
          <c:symbol val="none"/>
        </c:marker>
      </c:pivotFmt>
      <c:pivotFmt>
        <c:idx val="710"/>
        <c:marker>
          <c:symbol val="none"/>
        </c:marker>
      </c:pivotFmt>
      <c:pivotFmt>
        <c:idx val="711"/>
        <c:marker>
          <c:symbol val="none"/>
        </c:marker>
      </c:pivotFmt>
      <c:pivotFmt>
        <c:idx val="712"/>
        <c:marker>
          <c:symbol val="none"/>
        </c:marker>
      </c:pivotFmt>
      <c:pivotFmt>
        <c:idx val="713"/>
        <c:marker>
          <c:symbol val="none"/>
        </c:marker>
      </c:pivotFmt>
      <c:pivotFmt>
        <c:idx val="714"/>
        <c:marker>
          <c:symbol val="none"/>
        </c:marker>
      </c:pivotFmt>
      <c:pivotFmt>
        <c:idx val="715"/>
        <c:marker>
          <c:symbol val="none"/>
        </c:marker>
      </c:pivotFmt>
      <c:pivotFmt>
        <c:idx val="716"/>
        <c:marker>
          <c:symbol val="none"/>
        </c:marker>
      </c:pivotFmt>
      <c:pivotFmt>
        <c:idx val="717"/>
        <c:marker>
          <c:symbol val="none"/>
        </c:marker>
      </c:pivotFmt>
      <c:pivotFmt>
        <c:idx val="718"/>
        <c:marker>
          <c:symbol val="none"/>
        </c:marker>
      </c:pivotFmt>
      <c:pivotFmt>
        <c:idx val="719"/>
        <c:marker>
          <c:symbol val="none"/>
        </c:marker>
      </c:pivotFmt>
      <c:pivotFmt>
        <c:idx val="720"/>
        <c:marker>
          <c:symbol val="none"/>
        </c:marker>
      </c:pivotFmt>
    </c:pivotFmts>
    <c:plotArea>
      <c:layout/>
      <c:barChart>
        <c:barDir val="bar"/>
        <c:grouping val="stacked"/>
        <c:varyColors val="0"/>
        <c:ser>
          <c:idx val="0"/>
          <c:order val="0"/>
          <c:tx>
            <c:strRef>
              <c:f>'comparators (2)'!$B$37:$B$38</c:f>
              <c:strCache>
                <c:ptCount val="1"/>
                <c:pt idx="0">
                  <c:v>BLACKBURN WITH DARWEN UA</c:v>
                </c:pt>
              </c:strCache>
            </c:strRef>
          </c:tx>
          <c:invertIfNegative val="0"/>
          <c:cat>
            <c:strRef>
              <c:f>'comparators (2)'!$A$39:$A$45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(2)'!$B$39:$B$45</c:f>
              <c:numCache>
                <c:formatCode>General</c:formatCode>
                <c:ptCount val="6"/>
                <c:pt idx="1">
                  <c:v>250</c:v>
                </c:pt>
                <c:pt idx="2">
                  <c:v>22</c:v>
                </c:pt>
              </c:numCache>
            </c:numRef>
          </c:val>
        </c:ser>
        <c:ser>
          <c:idx val="1"/>
          <c:order val="1"/>
          <c:tx>
            <c:strRef>
              <c:f>'comparators (2)'!$C$37:$C$38</c:f>
              <c:strCache>
                <c:ptCount val="1"/>
                <c:pt idx="0">
                  <c:v>BLACKPOOL UA</c:v>
                </c:pt>
              </c:strCache>
            </c:strRef>
          </c:tx>
          <c:invertIfNegative val="0"/>
          <c:cat>
            <c:strRef>
              <c:f>'comparators (2)'!$A$39:$A$45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(2)'!$C$39:$C$45</c:f>
              <c:numCache>
                <c:formatCode>General</c:formatCode>
                <c:ptCount val="6"/>
                <c:pt idx="0">
                  <c:v>143</c:v>
                </c:pt>
                <c:pt idx="3">
                  <c:v>15</c:v>
                </c:pt>
              </c:numCache>
            </c:numRef>
          </c:val>
        </c:ser>
        <c:ser>
          <c:idx val="2"/>
          <c:order val="2"/>
          <c:tx>
            <c:strRef>
              <c:f>'comparators (2)'!$D$37:$D$38</c:f>
              <c:strCache>
                <c:ptCount val="1"/>
                <c:pt idx="0">
                  <c:v>CUMBRIA</c:v>
                </c:pt>
              </c:strCache>
            </c:strRef>
          </c:tx>
          <c:invertIfNegative val="0"/>
          <c:cat>
            <c:strRef>
              <c:f>'comparators (2)'!$A$39:$A$45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(2)'!$D$39:$D$45</c:f>
              <c:numCache>
                <c:formatCode>General</c:formatCode>
                <c:ptCount val="6"/>
                <c:pt idx="3">
                  <c:v>27</c:v>
                </c:pt>
                <c:pt idx="5">
                  <c:v>282</c:v>
                </c:pt>
              </c:numCache>
            </c:numRef>
          </c:val>
        </c:ser>
        <c:ser>
          <c:idx val="3"/>
          <c:order val="3"/>
          <c:tx>
            <c:strRef>
              <c:f>'comparators (2)'!$E$37:$E$38</c:f>
              <c:strCache>
                <c:ptCount val="1"/>
                <c:pt idx="0">
                  <c:v>LANCASHIRE</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'comparators (2)'!$A$39:$A$45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(2)'!$E$39:$E$45</c:f>
              <c:numCache>
                <c:formatCode>General</c:formatCode>
                <c:ptCount val="6"/>
                <c:pt idx="0">
                  <c:v>175</c:v>
                </c:pt>
                <c:pt idx="1">
                  <c:v>130</c:v>
                </c:pt>
                <c:pt idx="2">
                  <c:v>0</c:v>
                </c:pt>
                <c:pt idx="3">
                  <c:v>677</c:v>
                </c:pt>
                <c:pt idx="4">
                  <c:v>7</c:v>
                </c:pt>
                <c:pt idx="5">
                  <c:v>191</c:v>
                </c:pt>
              </c:numCache>
            </c:numRef>
          </c:val>
        </c:ser>
        <c:ser>
          <c:idx val="4"/>
          <c:order val="4"/>
          <c:tx>
            <c:strRef>
              <c:f>'comparators (2)'!$F$37:$F$38</c:f>
              <c:strCache>
                <c:ptCount val="1"/>
                <c:pt idx="0">
                  <c:v>LIVERPOOL</c:v>
                </c:pt>
              </c:strCache>
            </c:strRef>
          </c:tx>
          <c:invertIfNegative val="0"/>
          <c:cat>
            <c:strRef>
              <c:f>'comparators (2)'!$A$39:$A$45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(2)'!$F$39:$F$45</c:f>
              <c:numCache>
                <c:formatCode>General</c:formatCode>
                <c:ptCount val="6"/>
                <c:pt idx="3">
                  <c:v>0</c:v>
                </c:pt>
              </c:numCache>
            </c:numRef>
          </c:val>
        </c:ser>
        <c:ser>
          <c:idx val="5"/>
          <c:order val="5"/>
          <c:tx>
            <c:strRef>
              <c:f>'comparators (2)'!$G$37:$G$38</c:f>
              <c:strCache>
                <c:ptCount val="1"/>
                <c:pt idx="0">
                  <c:v>NORTH YORKSHIRE</c:v>
                </c:pt>
              </c:strCache>
            </c:strRef>
          </c:tx>
          <c:invertIfNegative val="0"/>
          <c:cat>
            <c:strRef>
              <c:f>'comparators (2)'!$A$39:$A$45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(2)'!$G$39:$G$45</c:f>
              <c:numCache>
                <c:formatCode>General</c:formatCode>
                <c:ptCount val="6"/>
                <c:pt idx="5">
                  <c:v>14</c:v>
                </c:pt>
              </c:numCache>
            </c:numRef>
          </c:val>
        </c:ser>
        <c:ser>
          <c:idx val="6"/>
          <c:order val="6"/>
          <c:tx>
            <c:strRef>
              <c:f>'comparators (2)'!$H$37:$H$38</c:f>
              <c:strCache>
                <c:ptCount val="1"/>
                <c:pt idx="0">
                  <c:v>SEFTON</c:v>
                </c:pt>
              </c:strCache>
            </c:strRef>
          </c:tx>
          <c:invertIfNegative val="0"/>
          <c:cat>
            <c:strRef>
              <c:f>'comparators (2)'!$A$39:$A$45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(2)'!$H$39:$H$45</c:f>
              <c:numCache>
                <c:formatCode>General</c:formatCode>
                <c:ptCount val="6"/>
                <c:pt idx="4">
                  <c:v>0</c:v>
                </c:pt>
              </c:numCache>
            </c:numRef>
          </c:val>
        </c:ser>
        <c:dLbls>
          <c:showLegendKey val="0"/>
          <c:showVal val="0"/>
          <c:showCatName val="0"/>
          <c:showSerName val="0"/>
          <c:showPercent val="0"/>
          <c:showBubbleSize val="0"/>
        </c:dLbls>
        <c:gapWidth val="150"/>
        <c:overlap val="100"/>
        <c:axId val="345231528"/>
        <c:axId val="345231920"/>
      </c:barChart>
      <c:catAx>
        <c:axId val="345231528"/>
        <c:scaling>
          <c:orientation val="maxMin"/>
        </c:scaling>
        <c:delete val="0"/>
        <c:axPos val="l"/>
        <c:numFmt formatCode="General" sourceLinked="0"/>
        <c:majorTickMark val="out"/>
        <c:minorTickMark val="none"/>
        <c:tickLblPos val="nextTo"/>
        <c:txPr>
          <a:bodyPr/>
          <a:lstStyle/>
          <a:p>
            <a:pPr>
              <a:defRPr sz="800" baseline="0"/>
            </a:pPr>
            <a:endParaRPr lang="en-US"/>
          </a:p>
        </c:txPr>
        <c:crossAx val="345231920"/>
        <c:crosses val="autoZero"/>
        <c:auto val="1"/>
        <c:lblAlgn val="ctr"/>
        <c:lblOffset val="100"/>
        <c:noMultiLvlLbl val="0"/>
      </c:catAx>
      <c:valAx>
        <c:axId val="345231920"/>
        <c:scaling>
          <c:orientation val="minMax"/>
        </c:scaling>
        <c:delete val="0"/>
        <c:axPos val="t"/>
        <c:majorGridlines/>
        <c:numFmt formatCode="General" sourceLinked="1"/>
        <c:majorTickMark val="out"/>
        <c:minorTickMark val="none"/>
        <c:tickLblPos val="nextTo"/>
        <c:crossAx val="345231528"/>
        <c:crosses val="autoZero"/>
        <c:crossBetween val="between"/>
      </c:valAx>
    </c:plotArea>
    <c:legend>
      <c:legendPos val="b"/>
      <c:layout/>
      <c:overlay val="0"/>
      <c:txPr>
        <a:bodyPr/>
        <a:lstStyle/>
        <a:p>
          <a:pPr>
            <a:defRPr sz="800" baseline="0"/>
          </a:pPr>
          <a:endParaRPr lang="en-US"/>
        </a:p>
      </c:txPr>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[DTOC 2016_17 to 2018_19 revised1.xlsx]comparators (2)!PivotTable2</c:name>
    <c:fmtId val="885"/>
  </c:pivotSource>
  <c:chart>
    <c:title>
      <c:tx>
        <c:rich>
          <a:bodyPr/>
          <a:lstStyle/>
          <a:p>
            <a:pPr>
              <a:defRPr/>
            </a:pPr>
            <a:r>
              <a:rPr lang="en-GB" sz="1200" b="1" i="0" baseline="0">
                <a:effectLst/>
              </a:rPr>
              <a:t>Aug-18 total delayed days by provider and local authority</a:t>
            </a:r>
            <a:endParaRPr lang="en-GB" sz="1200">
              <a:effectLst/>
            </a:endParaRPr>
          </a:p>
        </c:rich>
      </c:tx>
      <c:layout>
        <c:manualLayout>
          <c:xMode val="edge"/>
          <c:yMode val="edge"/>
          <c:x val="0.16325907432302666"/>
          <c:y val="3.3401819670500377E-2"/>
        </c:manualLayout>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pivotFmt>
      <c:pivotFmt>
        <c:idx val="61"/>
        <c:marker>
          <c:symbol val="none"/>
        </c:marker>
      </c:pivotFmt>
      <c:pivotFmt>
        <c:idx val="62"/>
        <c:marker>
          <c:symbol val="none"/>
        </c:marker>
      </c:pivotFmt>
      <c:pivotFmt>
        <c:idx val="63"/>
        <c:marker>
          <c:symbol val="none"/>
        </c:marker>
      </c:pivotFmt>
      <c:pivotFmt>
        <c:idx val="64"/>
        <c:marker>
          <c:symbol val="none"/>
        </c:marker>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pivotFmt>
      <c:pivotFmt>
        <c:idx val="76"/>
        <c:marker>
          <c:symbol val="none"/>
        </c:marker>
      </c:pivotFmt>
      <c:pivotFmt>
        <c:idx val="77"/>
        <c:marker>
          <c:symbol val="none"/>
        </c:marker>
      </c:pivotFmt>
      <c:pivotFmt>
        <c:idx val="78"/>
        <c:marker>
          <c:symbol val="none"/>
        </c:marker>
      </c:pivotFmt>
      <c:pivotFmt>
        <c:idx val="79"/>
        <c:marker>
          <c:symbol val="none"/>
        </c:marker>
      </c:pivotFmt>
      <c:pivotFmt>
        <c:idx val="80"/>
        <c:marker>
          <c:symbol val="none"/>
        </c:marker>
      </c:pivotFmt>
      <c:pivotFmt>
        <c:idx val="81"/>
        <c:marker>
          <c:symbol val="none"/>
        </c:marker>
      </c:pivotFmt>
      <c:pivotFmt>
        <c:idx val="82"/>
        <c:marker>
          <c:symbol val="none"/>
        </c:marker>
      </c:pivotFmt>
      <c:pivotFmt>
        <c:idx val="83"/>
        <c:marker>
          <c:symbol val="none"/>
        </c:marker>
      </c:pivotFmt>
      <c:pivotFmt>
        <c:idx val="84"/>
        <c:marker>
          <c:symbol val="none"/>
        </c:marker>
      </c:pivotFmt>
      <c:pivotFmt>
        <c:idx val="85"/>
        <c:marker>
          <c:symbol val="none"/>
        </c:marker>
      </c:pivotFmt>
      <c:pivotFmt>
        <c:idx val="86"/>
        <c:marker>
          <c:symbol val="none"/>
        </c:marker>
      </c:pivotFmt>
      <c:pivotFmt>
        <c:idx val="87"/>
        <c:marker>
          <c:symbol val="none"/>
        </c:marker>
      </c:pivotFmt>
      <c:pivotFmt>
        <c:idx val="88"/>
        <c:marker>
          <c:symbol val="none"/>
        </c:marker>
      </c:pivotFmt>
      <c:pivotFmt>
        <c:idx val="89"/>
        <c:marker>
          <c:symbol val="none"/>
        </c:marker>
      </c:pivotFmt>
      <c:pivotFmt>
        <c:idx val="90"/>
        <c:marker>
          <c:symbol val="none"/>
        </c:marker>
      </c:pivotFmt>
      <c:pivotFmt>
        <c:idx val="91"/>
        <c:marker>
          <c:symbol val="none"/>
        </c:marker>
      </c:pivotFmt>
      <c:pivotFmt>
        <c:idx val="92"/>
        <c:marker>
          <c:symbol val="none"/>
        </c:marker>
      </c:pivotFmt>
      <c:pivotFmt>
        <c:idx val="93"/>
        <c:marker>
          <c:symbol val="none"/>
        </c:marker>
      </c:pivotFmt>
      <c:pivotFmt>
        <c:idx val="94"/>
        <c:marker>
          <c:symbol val="none"/>
        </c:marker>
      </c:pivotFmt>
      <c:pivotFmt>
        <c:idx val="95"/>
        <c:marker>
          <c:symbol val="none"/>
        </c:marker>
      </c:pivotFmt>
      <c:pivotFmt>
        <c:idx val="96"/>
        <c:marker>
          <c:symbol val="none"/>
        </c:marker>
      </c:pivotFmt>
      <c:pivotFmt>
        <c:idx val="97"/>
        <c:marker>
          <c:symbol val="none"/>
        </c:marker>
      </c:pivotFmt>
      <c:pivotFmt>
        <c:idx val="98"/>
        <c:marker>
          <c:symbol val="none"/>
        </c:marker>
      </c:pivotFmt>
      <c:pivotFmt>
        <c:idx val="99"/>
        <c:marker>
          <c:symbol val="none"/>
        </c:marker>
      </c:pivotFmt>
      <c:pivotFmt>
        <c:idx val="100"/>
        <c:marker>
          <c:symbol val="none"/>
        </c:marker>
      </c:pivotFmt>
      <c:pivotFmt>
        <c:idx val="101"/>
      </c:pivotFmt>
      <c:pivotFmt>
        <c:idx val="102"/>
        <c:marker>
          <c:symbol val="none"/>
        </c:marker>
      </c:pivotFmt>
      <c:pivotFmt>
        <c:idx val="103"/>
        <c:marker>
          <c:symbol val="none"/>
        </c:marker>
      </c:pivotFmt>
      <c:pivotFmt>
        <c:idx val="104"/>
        <c:marker>
          <c:symbol val="none"/>
        </c:marker>
      </c:pivotFmt>
      <c:pivotFmt>
        <c:idx val="105"/>
      </c:pivotFmt>
      <c:pivotFmt>
        <c:idx val="106"/>
      </c:pivotFmt>
      <c:pivotFmt>
        <c:idx val="107"/>
      </c:pivotFmt>
      <c:pivotFmt>
        <c:idx val="108"/>
      </c:pivotFmt>
      <c:pivotFmt>
        <c:idx val="109"/>
      </c:pivotFmt>
      <c:pivotFmt>
        <c:idx val="110"/>
      </c:pivotFmt>
      <c:pivotFmt>
        <c:idx val="111"/>
      </c:pivotFmt>
      <c:pivotFmt>
        <c:idx val="112"/>
      </c:pivotFmt>
      <c:pivotFmt>
        <c:idx val="113"/>
      </c:pivotFmt>
      <c:pivotFmt>
        <c:idx val="114"/>
      </c:pivotFmt>
      <c:pivotFmt>
        <c:idx val="115"/>
      </c:pivotFmt>
      <c:pivotFmt>
        <c:idx val="116"/>
      </c:pivotFmt>
      <c:pivotFmt>
        <c:idx val="117"/>
      </c:pivotFmt>
      <c:pivotFmt>
        <c:idx val="118"/>
      </c:pivotFmt>
      <c:pivotFmt>
        <c:idx val="119"/>
      </c:pivotFmt>
      <c:pivotFmt>
        <c:idx val="120"/>
      </c:pivotFmt>
      <c:pivotFmt>
        <c:idx val="121"/>
      </c:pivotFmt>
      <c:pivotFmt>
        <c:idx val="122"/>
      </c:pivotFmt>
      <c:pivotFmt>
        <c:idx val="123"/>
        <c:marker>
          <c:symbol val="none"/>
        </c:marker>
      </c:pivotFmt>
      <c:pivotFmt>
        <c:idx val="124"/>
        <c:marker>
          <c:symbol val="none"/>
        </c:marker>
      </c:pivotFmt>
      <c:pivotFmt>
        <c:idx val="125"/>
        <c:marker>
          <c:symbol val="none"/>
        </c:marker>
      </c:pivotFmt>
      <c:pivotFmt>
        <c:idx val="126"/>
        <c:marker>
          <c:symbol val="none"/>
        </c:marker>
      </c:pivotFmt>
      <c:pivotFmt>
        <c:idx val="127"/>
        <c:marker>
          <c:symbol val="none"/>
        </c:marker>
      </c:pivotFmt>
      <c:pivotFmt>
        <c:idx val="128"/>
        <c:marker>
          <c:symbol val="none"/>
        </c:marker>
      </c:pivotFmt>
      <c:pivotFmt>
        <c:idx val="129"/>
        <c:marker>
          <c:symbol val="none"/>
        </c:marker>
      </c:pivotFmt>
      <c:pivotFmt>
        <c:idx val="130"/>
        <c:marker>
          <c:symbol val="none"/>
        </c:marker>
      </c:pivotFmt>
      <c:pivotFmt>
        <c:idx val="131"/>
        <c:marker>
          <c:symbol val="none"/>
        </c:marker>
      </c:pivotFmt>
      <c:pivotFmt>
        <c:idx val="132"/>
        <c:marker>
          <c:symbol val="none"/>
        </c:marker>
      </c:pivotFmt>
      <c:pivotFmt>
        <c:idx val="133"/>
        <c:marker>
          <c:symbol val="none"/>
        </c:marker>
      </c:pivotFmt>
      <c:pivotFmt>
        <c:idx val="134"/>
        <c:marker>
          <c:symbol val="none"/>
        </c:marker>
      </c:pivotFmt>
      <c:pivotFmt>
        <c:idx val="135"/>
        <c:marker>
          <c:symbol val="none"/>
        </c:marker>
      </c:pivotFmt>
      <c:pivotFmt>
        <c:idx val="136"/>
        <c:marker>
          <c:symbol val="none"/>
        </c:marker>
      </c:pivotFmt>
      <c:pivotFmt>
        <c:idx val="137"/>
        <c:marker>
          <c:symbol val="none"/>
        </c:marker>
      </c:pivotFmt>
      <c:pivotFmt>
        <c:idx val="138"/>
        <c:marker>
          <c:symbol val="none"/>
        </c:marker>
      </c:pivotFmt>
      <c:pivotFmt>
        <c:idx val="139"/>
        <c:marker>
          <c:symbol val="none"/>
        </c:marker>
      </c:pivotFmt>
      <c:pivotFmt>
        <c:idx val="140"/>
        <c:marker>
          <c:symbol val="none"/>
        </c:marker>
      </c:pivotFmt>
      <c:pivotFmt>
        <c:idx val="141"/>
        <c:marker>
          <c:symbol val="none"/>
        </c:marker>
      </c:pivotFmt>
      <c:pivotFmt>
        <c:idx val="142"/>
        <c:marker>
          <c:symbol val="none"/>
        </c:marker>
      </c:pivotFmt>
      <c:pivotFmt>
        <c:idx val="143"/>
        <c:marker>
          <c:symbol val="none"/>
        </c:marker>
      </c:pivotFmt>
      <c:pivotFmt>
        <c:idx val="144"/>
        <c:marker>
          <c:symbol val="none"/>
        </c:marker>
      </c:pivotFmt>
      <c:pivotFmt>
        <c:idx val="145"/>
        <c:marker>
          <c:symbol val="none"/>
        </c:marker>
      </c:pivotFmt>
      <c:pivotFmt>
        <c:idx val="146"/>
        <c:marker>
          <c:symbol val="none"/>
        </c:marker>
      </c:pivotFmt>
      <c:pivotFmt>
        <c:idx val="147"/>
        <c:marker>
          <c:symbol val="none"/>
        </c:marker>
      </c:pivotFmt>
      <c:pivotFmt>
        <c:idx val="148"/>
        <c:marker>
          <c:symbol val="none"/>
        </c:marker>
      </c:pivotFmt>
      <c:pivotFmt>
        <c:idx val="149"/>
        <c:marker>
          <c:symbol val="none"/>
        </c:marker>
      </c:pivotFmt>
      <c:pivotFmt>
        <c:idx val="150"/>
        <c:marker>
          <c:symbol val="none"/>
        </c:marker>
      </c:pivotFmt>
      <c:pivotFmt>
        <c:idx val="151"/>
        <c:marker>
          <c:symbol val="none"/>
        </c:marker>
      </c:pivotFmt>
      <c:pivotFmt>
        <c:idx val="152"/>
        <c:marker>
          <c:symbol val="none"/>
        </c:marker>
      </c:pivotFmt>
      <c:pivotFmt>
        <c:idx val="153"/>
        <c:marker>
          <c:symbol val="none"/>
        </c:marker>
      </c:pivotFmt>
      <c:pivotFmt>
        <c:idx val="154"/>
        <c:marker>
          <c:symbol val="none"/>
        </c:marker>
      </c:pivotFmt>
      <c:pivotFmt>
        <c:idx val="155"/>
        <c:marker>
          <c:symbol val="none"/>
        </c:marker>
      </c:pivotFmt>
      <c:pivotFmt>
        <c:idx val="156"/>
        <c:marker>
          <c:symbol val="none"/>
        </c:marker>
      </c:pivotFmt>
      <c:pivotFmt>
        <c:idx val="157"/>
        <c:marker>
          <c:symbol val="none"/>
        </c:marker>
      </c:pivotFmt>
      <c:pivotFmt>
        <c:idx val="158"/>
        <c:marker>
          <c:symbol val="none"/>
        </c:marker>
      </c:pivotFmt>
      <c:pivotFmt>
        <c:idx val="159"/>
        <c:marker>
          <c:symbol val="none"/>
        </c:marker>
      </c:pivotFmt>
      <c:pivotFmt>
        <c:idx val="160"/>
        <c:marker>
          <c:symbol val="none"/>
        </c:marker>
      </c:pivotFmt>
      <c:pivotFmt>
        <c:idx val="161"/>
        <c:marker>
          <c:symbol val="none"/>
        </c:marker>
      </c:pivotFmt>
      <c:pivotFmt>
        <c:idx val="162"/>
        <c:marker>
          <c:symbol val="none"/>
        </c:marker>
      </c:pivotFmt>
      <c:pivotFmt>
        <c:idx val="163"/>
        <c:marker>
          <c:symbol val="none"/>
        </c:marker>
      </c:pivotFmt>
      <c:pivotFmt>
        <c:idx val="164"/>
        <c:marker>
          <c:symbol val="none"/>
        </c:marker>
      </c:pivotFmt>
      <c:pivotFmt>
        <c:idx val="165"/>
        <c:marker>
          <c:symbol val="none"/>
        </c:marker>
      </c:pivotFmt>
      <c:pivotFmt>
        <c:idx val="166"/>
        <c:marker>
          <c:symbol val="none"/>
        </c:marker>
      </c:pivotFmt>
      <c:pivotFmt>
        <c:idx val="167"/>
        <c:marker>
          <c:symbol val="none"/>
        </c:marker>
      </c:pivotFmt>
      <c:pivotFmt>
        <c:idx val="168"/>
        <c:marker>
          <c:symbol val="none"/>
        </c:marker>
      </c:pivotFmt>
      <c:pivotFmt>
        <c:idx val="169"/>
        <c:marker>
          <c:symbol val="none"/>
        </c:marker>
      </c:pivotFmt>
      <c:pivotFmt>
        <c:idx val="170"/>
        <c:marker>
          <c:symbol val="none"/>
        </c:marker>
      </c:pivotFmt>
      <c:pivotFmt>
        <c:idx val="171"/>
        <c:marker>
          <c:symbol val="none"/>
        </c:marker>
      </c:pivotFmt>
      <c:pivotFmt>
        <c:idx val="172"/>
        <c:marker>
          <c:symbol val="none"/>
        </c:marker>
      </c:pivotFmt>
      <c:pivotFmt>
        <c:idx val="173"/>
        <c:marker>
          <c:symbol val="none"/>
        </c:marker>
      </c:pivotFmt>
      <c:pivotFmt>
        <c:idx val="174"/>
        <c:marker>
          <c:symbol val="none"/>
        </c:marker>
      </c:pivotFmt>
      <c:pivotFmt>
        <c:idx val="175"/>
        <c:marker>
          <c:symbol val="none"/>
        </c:marker>
      </c:pivotFmt>
      <c:pivotFmt>
        <c:idx val="176"/>
        <c:marker>
          <c:symbol val="none"/>
        </c:marker>
      </c:pivotFmt>
      <c:pivotFmt>
        <c:idx val="177"/>
        <c:marker>
          <c:symbol val="none"/>
        </c:marker>
      </c:pivotFmt>
      <c:pivotFmt>
        <c:idx val="178"/>
        <c:marker>
          <c:symbol val="none"/>
        </c:marker>
      </c:pivotFmt>
      <c:pivotFmt>
        <c:idx val="179"/>
        <c:marker>
          <c:symbol val="none"/>
        </c:marker>
      </c:pivotFmt>
      <c:pivotFmt>
        <c:idx val="180"/>
        <c:marker>
          <c:symbol val="none"/>
        </c:marker>
      </c:pivotFmt>
      <c:pivotFmt>
        <c:idx val="181"/>
        <c:marker>
          <c:symbol val="none"/>
        </c:marker>
      </c:pivotFmt>
      <c:pivotFmt>
        <c:idx val="182"/>
        <c:marker>
          <c:symbol val="none"/>
        </c:marker>
      </c:pivotFmt>
      <c:pivotFmt>
        <c:idx val="183"/>
        <c:marker>
          <c:symbol val="none"/>
        </c:marker>
      </c:pivotFmt>
      <c:pivotFmt>
        <c:idx val="184"/>
        <c:marker>
          <c:symbol val="none"/>
        </c:marker>
      </c:pivotFmt>
      <c:pivotFmt>
        <c:idx val="185"/>
        <c:marker>
          <c:symbol val="none"/>
        </c:marker>
      </c:pivotFmt>
      <c:pivotFmt>
        <c:idx val="186"/>
        <c:marker>
          <c:symbol val="none"/>
        </c:marker>
      </c:pivotFmt>
      <c:pivotFmt>
        <c:idx val="187"/>
        <c:marker>
          <c:symbol val="none"/>
        </c:marker>
      </c:pivotFmt>
      <c:pivotFmt>
        <c:idx val="188"/>
        <c:marker>
          <c:symbol val="none"/>
        </c:marker>
      </c:pivotFmt>
      <c:pivotFmt>
        <c:idx val="189"/>
        <c:marker>
          <c:symbol val="none"/>
        </c:marker>
      </c:pivotFmt>
      <c:pivotFmt>
        <c:idx val="190"/>
        <c:marker>
          <c:symbol val="none"/>
        </c:marker>
      </c:pivotFmt>
      <c:pivotFmt>
        <c:idx val="191"/>
        <c:marker>
          <c:symbol val="none"/>
        </c:marker>
      </c:pivotFmt>
      <c:pivotFmt>
        <c:idx val="192"/>
        <c:marker>
          <c:symbol val="none"/>
        </c:marker>
      </c:pivotFmt>
      <c:pivotFmt>
        <c:idx val="193"/>
        <c:marker>
          <c:symbol val="none"/>
        </c:marker>
      </c:pivotFmt>
      <c:pivotFmt>
        <c:idx val="194"/>
        <c:marker>
          <c:symbol val="none"/>
        </c:marker>
      </c:pivotFmt>
      <c:pivotFmt>
        <c:idx val="195"/>
        <c:marker>
          <c:symbol val="none"/>
        </c:marker>
      </c:pivotFmt>
      <c:pivotFmt>
        <c:idx val="196"/>
        <c:marker>
          <c:symbol val="none"/>
        </c:marker>
      </c:pivotFmt>
      <c:pivotFmt>
        <c:idx val="197"/>
        <c:marker>
          <c:symbol val="none"/>
        </c:marker>
      </c:pivotFmt>
      <c:pivotFmt>
        <c:idx val="198"/>
        <c:marker>
          <c:symbol val="none"/>
        </c:marker>
      </c:pivotFmt>
      <c:pivotFmt>
        <c:idx val="199"/>
        <c:marker>
          <c:symbol val="none"/>
        </c:marker>
      </c:pivotFmt>
      <c:pivotFmt>
        <c:idx val="200"/>
        <c:marker>
          <c:symbol val="none"/>
        </c:marker>
      </c:pivotFmt>
      <c:pivotFmt>
        <c:idx val="201"/>
        <c:marker>
          <c:symbol val="none"/>
        </c:marker>
      </c:pivotFmt>
      <c:pivotFmt>
        <c:idx val="202"/>
        <c:marker>
          <c:symbol val="none"/>
        </c:marker>
      </c:pivotFmt>
      <c:pivotFmt>
        <c:idx val="203"/>
        <c:marker>
          <c:symbol val="none"/>
        </c:marker>
      </c:pivotFmt>
      <c:pivotFmt>
        <c:idx val="204"/>
        <c:marker>
          <c:symbol val="none"/>
        </c:marker>
      </c:pivotFmt>
      <c:pivotFmt>
        <c:idx val="205"/>
        <c:marker>
          <c:symbol val="none"/>
        </c:marker>
      </c:pivotFmt>
      <c:pivotFmt>
        <c:idx val="206"/>
        <c:marker>
          <c:symbol val="none"/>
        </c:marker>
      </c:pivotFmt>
      <c:pivotFmt>
        <c:idx val="207"/>
        <c:marker>
          <c:symbol val="none"/>
        </c:marker>
      </c:pivotFmt>
      <c:pivotFmt>
        <c:idx val="208"/>
        <c:marker>
          <c:symbol val="none"/>
        </c:marker>
      </c:pivotFmt>
      <c:pivotFmt>
        <c:idx val="209"/>
        <c:marker>
          <c:symbol val="none"/>
        </c:marker>
      </c:pivotFmt>
      <c:pivotFmt>
        <c:idx val="210"/>
        <c:marker>
          <c:symbol val="none"/>
        </c:marker>
      </c:pivotFmt>
      <c:pivotFmt>
        <c:idx val="211"/>
        <c:marker>
          <c:symbol val="none"/>
        </c:marker>
      </c:pivotFmt>
      <c:pivotFmt>
        <c:idx val="212"/>
        <c:marker>
          <c:symbol val="none"/>
        </c:marker>
      </c:pivotFmt>
      <c:pivotFmt>
        <c:idx val="213"/>
        <c:marker>
          <c:symbol val="none"/>
        </c:marker>
      </c:pivotFmt>
      <c:pivotFmt>
        <c:idx val="214"/>
        <c:marker>
          <c:symbol val="none"/>
        </c:marker>
      </c:pivotFmt>
      <c:pivotFmt>
        <c:idx val="215"/>
        <c:marker>
          <c:symbol val="none"/>
        </c:marker>
      </c:pivotFmt>
      <c:pivotFmt>
        <c:idx val="216"/>
        <c:marker>
          <c:symbol val="none"/>
        </c:marker>
      </c:pivotFmt>
      <c:pivotFmt>
        <c:idx val="217"/>
        <c:marker>
          <c:symbol val="none"/>
        </c:marker>
      </c:pivotFmt>
      <c:pivotFmt>
        <c:idx val="218"/>
        <c:marker>
          <c:symbol val="none"/>
        </c:marker>
      </c:pivotFmt>
      <c:pivotFmt>
        <c:idx val="219"/>
        <c:marker>
          <c:symbol val="none"/>
        </c:marker>
      </c:pivotFmt>
      <c:pivotFmt>
        <c:idx val="220"/>
        <c:marker>
          <c:symbol val="none"/>
        </c:marker>
      </c:pivotFmt>
      <c:pivotFmt>
        <c:idx val="221"/>
        <c:marker>
          <c:symbol val="none"/>
        </c:marker>
      </c:pivotFmt>
      <c:pivotFmt>
        <c:idx val="222"/>
        <c:marker>
          <c:symbol val="none"/>
        </c:marker>
      </c:pivotFmt>
      <c:pivotFmt>
        <c:idx val="223"/>
        <c:marker>
          <c:symbol val="none"/>
        </c:marker>
      </c:pivotFmt>
      <c:pivotFmt>
        <c:idx val="224"/>
        <c:marker>
          <c:symbol val="none"/>
        </c:marker>
      </c:pivotFmt>
      <c:pivotFmt>
        <c:idx val="225"/>
        <c:marker>
          <c:symbol val="none"/>
        </c:marker>
      </c:pivotFmt>
      <c:pivotFmt>
        <c:idx val="226"/>
        <c:marker>
          <c:symbol val="none"/>
        </c:marker>
      </c:pivotFmt>
      <c:pivotFmt>
        <c:idx val="227"/>
        <c:marker>
          <c:symbol val="none"/>
        </c:marker>
      </c:pivotFmt>
      <c:pivotFmt>
        <c:idx val="228"/>
        <c:marker>
          <c:symbol val="none"/>
        </c:marker>
      </c:pivotFmt>
      <c:pivotFmt>
        <c:idx val="229"/>
        <c:marker>
          <c:symbol val="none"/>
        </c:marker>
      </c:pivotFmt>
      <c:pivotFmt>
        <c:idx val="230"/>
        <c:marker>
          <c:symbol val="none"/>
        </c:marker>
      </c:pivotFmt>
      <c:pivotFmt>
        <c:idx val="231"/>
        <c:marker>
          <c:symbol val="none"/>
        </c:marker>
      </c:pivotFmt>
      <c:pivotFmt>
        <c:idx val="232"/>
        <c:marker>
          <c:symbol val="none"/>
        </c:marker>
      </c:pivotFmt>
      <c:pivotFmt>
        <c:idx val="233"/>
        <c:marker>
          <c:symbol val="none"/>
        </c:marker>
      </c:pivotFmt>
      <c:pivotFmt>
        <c:idx val="234"/>
        <c:marker>
          <c:symbol val="none"/>
        </c:marker>
      </c:pivotFmt>
      <c:pivotFmt>
        <c:idx val="235"/>
        <c:marker>
          <c:symbol val="none"/>
        </c:marker>
      </c:pivotFmt>
      <c:pivotFmt>
        <c:idx val="236"/>
        <c:marker>
          <c:symbol val="none"/>
        </c:marker>
      </c:pivotFmt>
      <c:pivotFmt>
        <c:idx val="237"/>
        <c:marker>
          <c:symbol val="none"/>
        </c:marker>
      </c:pivotFmt>
      <c:pivotFmt>
        <c:idx val="238"/>
        <c:marker>
          <c:symbol val="none"/>
        </c:marker>
      </c:pivotFmt>
      <c:pivotFmt>
        <c:idx val="239"/>
        <c:marker>
          <c:symbol val="none"/>
        </c:marker>
      </c:pivotFmt>
      <c:pivotFmt>
        <c:idx val="240"/>
        <c:marker>
          <c:symbol val="none"/>
        </c:marker>
      </c:pivotFmt>
      <c:pivotFmt>
        <c:idx val="241"/>
        <c:marker>
          <c:symbol val="none"/>
        </c:marker>
      </c:pivotFmt>
      <c:pivotFmt>
        <c:idx val="242"/>
        <c:marker>
          <c:symbol val="none"/>
        </c:marker>
      </c:pivotFmt>
      <c:pivotFmt>
        <c:idx val="243"/>
        <c:marker>
          <c:symbol val="none"/>
        </c:marker>
      </c:pivotFmt>
      <c:pivotFmt>
        <c:idx val="244"/>
        <c:marker>
          <c:symbol val="none"/>
        </c:marker>
      </c:pivotFmt>
      <c:pivotFmt>
        <c:idx val="245"/>
        <c:marker>
          <c:symbol val="none"/>
        </c:marker>
      </c:pivotFmt>
      <c:pivotFmt>
        <c:idx val="246"/>
        <c:marker>
          <c:symbol val="none"/>
        </c:marker>
      </c:pivotFmt>
      <c:pivotFmt>
        <c:idx val="247"/>
        <c:marker>
          <c:symbol val="none"/>
        </c:marker>
      </c:pivotFmt>
      <c:pivotFmt>
        <c:idx val="248"/>
        <c:marker>
          <c:symbol val="none"/>
        </c:marker>
      </c:pivotFmt>
      <c:pivotFmt>
        <c:idx val="249"/>
        <c:marker>
          <c:symbol val="none"/>
        </c:marker>
      </c:pivotFmt>
      <c:pivotFmt>
        <c:idx val="250"/>
        <c:marker>
          <c:symbol val="none"/>
        </c:marker>
      </c:pivotFmt>
      <c:pivotFmt>
        <c:idx val="251"/>
        <c:marker>
          <c:symbol val="none"/>
        </c:marker>
      </c:pivotFmt>
      <c:pivotFmt>
        <c:idx val="252"/>
        <c:marker>
          <c:symbol val="none"/>
        </c:marker>
      </c:pivotFmt>
      <c:pivotFmt>
        <c:idx val="253"/>
        <c:marker>
          <c:symbol val="none"/>
        </c:marker>
      </c:pivotFmt>
      <c:pivotFmt>
        <c:idx val="254"/>
        <c:marker>
          <c:symbol val="none"/>
        </c:marker>
      </c:pivotFmt>
      <c:pivotFmt>
        <c:idx val="255"/>
        <c:marker>
          <c:symbol val="none"/>
        </c:marker>
      </c:pivotFmt>
      <c:pivotFmt>
        <c:idx val="256"/>
        <c:marker>
          <c:symbol val="none"/>
        </c:marker>
      </c:pivotFmt>
      <c:pivotFmt>
        <c:idx val="257"/>
        <c:marker>
          <c:symbol val="none"/>
        </c:marker>
      </c:pivotFmt>
      <c:pivotFmt>
        <c:idx val="258"/>
        <c:marker>
          <c:symbol val="none"/>
        </c:marker>
      </c:pivotFmt>
      <c:pivotFmt>
        <c:idx val="259"/>
        <c:marker>
          <c:symbol val="none"/>
        </c:marker>
      </c:pivotFmt>
      <c:pivotFmt>
        <c:idx val="260"/>
        <c:marker>
          <c:symbol val="none"/>
        </c:marker>
      </c:pivotFmt>
      <c:pivotFmt>
        <c:idx val="261"/>
        <c:marker>
          <c:symbol val="none"/>
        </c:marker>
      </c:pivotFmt>
      <c:pivotFmt>
        <c:idx val="262"/>
        <c:marker>
          <c:symbol val="none"/>
        </c:marker>
      </c:pivotFmt>
      <c:pivotFmt>
        <c:idx val="263"/>
        <c:marker>
          <c:symbol val="none"/>
        </c:marker>
      </c:pivotFmt>
      <c:pivotFmt>
        <c:idx val="264"/>
        <c:marker>
          <c:symbol val="none"/>
        </c:marker>
      </c:pivotFmt>
      <c:pivotFmt>
        <c:idx val="265"/>
        <c:marker>
          <c:symbol val="none"/>
        </c:marker>
      </c:pivotFmt>
      <c:pivotFmt>
        <c:idx val="266"/>
        <c:marker>
          <c:symbol val="none"/>
        </c:marker>
      </c:pivotFmt>
      <c:pivotFmt>
        <c:idx val="267"/>
        <c:marker>
          <c:symbol val="none"/>
        </c:marker>
      </c:pivotFmt>
      <c:pivotFmt>
        <c:idx val="268"/>
        <c:marker>
          <c:symbol val="none"/>
        </c:marker>
      </c:pivotFmt>
      <c:pivotFmt>
        <c:idx val="269"/>
        <c:marker>
          <c:symbol val="none"/>
        </c:marker>
      </c:pivotFmt>
      <c:pivotFmt>
        <c:idx val="270"/>
        <c:marker>
          <c:symbol val="none"/>
        </c:marker>
      </c:pivotFmt>
      <c:pivotFmt>
        <c:idx val="271"/>
        <c:marker>
          <c:symbol val="none"/>
        </c:marker>
      </c:pivotFmt>
      <c:pivotFmt>
        <c:idx val="272"/>
        <c:marker>
          <c:symbol val="none"/>
        </c:marker>
      </c:pivotFmt>
      <c:pivotFmt>
        <c:idx val="273"/>
        <c:marker>
          <c:symbol val="none"/>
        </c:marker>
      </c:pivotFmt>
      <c:pivotFmt>
        <c:idx val="274"/>
        <c:marker>
          <c:symbol val="none"/>
        </c:marker>
      </c:pivotFmt>
      <c:pivotFmt>
        <c:idx val="275"/>
        <c:marker>
          <c:symbol val="none"/>
        </c:marker>
      </c:pivotFmt>
      <c:pivotFmt>
        <c:idx val="276"/>
        <c:marker>
          <c:symbol val="none"/>
        </c:marker>
      </c:pivotFmt>
      <c:pivotFmt>
        <c:idx val="277"/>
        <c:marker>
          <c:symbol val="none"/>
        </c:marker>
      </c:pivotFmt>
      <c:pivotFmt>
        <c:idx val="278"/>
        <c:marker>
          <c:symbol val="none"/>
        </c:marker>
      </c:pivotFmt>
      <c:pivotFmt>
        <c:idx val="279"/>
        <c:marker>
          <c:symbol val="none"/>
        </c:marker>
      </c:pivotFmt>
      <c:pivotFmt>
        <c:idx val="280"/>
        <c:marker>
          <c:symbol val="none"/>
        </c:marker>
      </c:pivotFmt>
      <c:pivotFmt>
        <c:idx val="281"/>
        <c:marker>
          <c:symbol val="none"/>
        </c:marker>
      </c:pivotFmt>
      <c:pivotFmt>
        <c:idx val="282"/>
        <c:marker>
          <c:symbol val="none"/>
        </c:marker>
      </c:pivotFmt>
      <c:pivotFmt>
        <c:idx val="283"/>
        <c:marker>
          <c:symbol val="none"/>
        </c:marker>
      </c:pivotFmt>
      <c:pivotFmt>
        <c:idx val="284"/>
        <c:marker>
          <c:symbol val="none"/>
        </c:marker>
      </c:pivotFmt>
      <c:pivotFmt>
        <c:idx val="285"/>
        <c:marker>
          <c:symbol val="none"/>
        </c:marker>
      </c:pivotFmt>
      <c:pivotFmt>
        <c:idx val="286"/>
        <c:marker>
          <c:symbol val="none"/>
        </c:marker>
      </c:pivotFmt>
      <c:pivotFmt>
        <c:idx val="287"/>
        <c:marker>
          <c:symbol val="none"/>
        </c:marker>
      </c:pivotFmt>
      <c:pivotFmt>
        <c:idx val="288"/>
        <c:marker>
          <c:symbol val="none"/>
        </c:marker>
      </c:pivotFmt>
      <c:pivotFmt>
        <c:idx val="289"/>
        <c:marker>
          <c:symbol val="none"/>
        </c:marker>
      </c:pivotFmt>
      <c:pivotFmt>
        <c:idx val="290"/>
        <c:marker>
          <c:symbol val="none"/>
        </c:marker>
      </c:pivotFmt>
      <c:pivotFmt>
        <c:idx val="291"/>
        <c:marker>
          <c:symbol val="none"/>
        </c:marker>
      </c:pivotFmt>
      <c:pivotFmt>
        <c:idx val="292"/>
        <c:marker>
          <c:symbol val="none"/>
        </c:marker>
      </c:pivotFmt>
      <c:pivotFmt>
        <c:idx val="293"/>
        <c:marker>
          <c:symbol val="none"/>
        </c:marker>
      </c:pivotFmt>
      <c:pivotFmt>
        <c:idx val="294"/>
        <c:marker>
          <c:symbol val="none"/>
        </c:marker>
      </c:pivotFmt>
      <c:pivotFmt>
        <c:idx val="295"/>
        <c:marker>
          <c:symbol val="none"/>
        </c:marker>
      </c:pivotFmt>
      <c:pivotFmt>
        <c:idx val="296"/>
        <c:marker>
          <c:symbol val="none"/>
        </c:marker>
      </c:pivotFmt>
      <c:pivotFmt>
        <c:idx val="297"/>
        <c:marker>
          <c:symbol val="none"/>
        </c:marker>
      </c:pivotFmt>
      <c:pivotFmt>
        <c:idx val="298"/>
        <c:marker>
          <c:symbol val="none"/>
        </c:marker>
      </c:pivotFmt>
      <c:pivotFmt>
        <c:idx val="299"/>
        <c:marker>
          <c:symbol val="none"/>
        </c:marker>
      </c:pivotFmt>
      <c:pivotFmt>
        <c:idx val="300"/>
        <c:marker>
          <c:symbol val="none"/>
        </c:marker>
      </c:pivotFmt>
      <c:pivotFmt>
        <c:idx val="301"/>
        <c:marker>
          <c:symbol val="none"/>
        </c:marker>
      </c:pivotFmt>
      <c:pivotFmt>
        <c:idx val="302"/>
        <c:marker>
          <c:symbol val="none"/>
        </c:marker>
      </c:pivotFmt>
      <c:pivotFmt>
        <c:idx val="303"/>
        <c:marker>
          <c:symbol val="none"/>
        </c:marker>
      </c:pivotFmt>
      <c:pivotFmt>
        <c:idx val="304"/>
        <c:marker>
          <c:symbol val="none"/>
        </c:marker>
      </c:pivotFmt>
      <c:pivotFmt>
        <c:idx val="305"/>
        <c:marker>
          <c:symbol val="none"/>
        </c:marker>
      </c:pivotFmt>
      <c:pivotFmt>
        <c:idx val="306"/>
        <c:marker>
          <c:symbol val="none"/>
        </c:marker>
      </c:pivotFmt>
      <c:pivotFmt>
        <c:idx val="307"/>
        <c:marker>
          <c:symbol val="none"/>
        </c:marker>
      </c:pivotFmt>
      <c:pivotFmt>
        <c:idx val="308"/>
        <c:marker>
          <c:symbol val="none"/>
        </c:marker>
      </c:pivotFmt>
      <c:pivotFmt>
        <c:idx val="309"/>
        <c:marker>
          <c:symbol val="none"/>
        </c:marker>
      </c:pivotFmt>
      <c:pivotFmt>
        <c:idx val="310"/>
        <c:marker>
          <c:symbol val="none"/>
        </c:marker>
      </c:pivotFmt>
      <c:pivotFmt>
        <c:idx val="311"/>
        <c:marker>
          <c:symbol val="none"/>
        </c:marker>
      </c:pivotFmt>
      <c:pivotFmt>
        <c:idx val="312"/>
        <c:marker>
          <c:symbol val="none"/>
        </c:marker>
      </c:pivotFmt>
      <c:pivotFmt>
        <c:idx val="313"/>
        <c:marker>
          <c:symbol val="none"/>
        </c:marker>
      </c:pivotFmt>
      <c:pivotFmt>
        <c:idx val="314"/>
        <c:marker>
          <c:symbol val="none"/>
        </c:marker>
      </c:pivotFmt>
      <c:pivotFmt>
        <c:idx val="315"/>
        <c:marker>
          <c:symbol val="none"/>
        </c:marker>
      </c:pivotFmt>
      <c:pivotFmt>
        <c:idx val="316"/>
        <c:marker>
          <c:symbol val="none"/>
        </c:marker>
      </c:pivotFmt>
      <c:pivotFmt>
        <c:idx val="317"/>
        <c:marker>
          <c:symbol val="none"/>
        </c:marker>
      </c:pivotFmt>
      <c:pivotFmt>
        <c:idx val="318"/>
        <c:marker>
          <c:symbol val="none"/>
        </c:marker>
      </c:pivotFmt>
      <c:pivotFmt>
        <c:idx val="319"/>
        <c:marker>
          <c:symbol val="none"/>
        </c:marker>
      </c:pivotFmt>
      <c:pivotFmt>
        <c:idx val="320"/>
        <c:marker>
          <c:symbol val="none"/>
        </c:marker>
      </c:pivotFmt>
      <c:pivotFmt>
        <c:idx val="321"/>
        <c:marker>
          <c:symbol val="none"/>
        </c:marker>
      </c:pivotFmt>
      <c:pivotFmt>
        <c:idx val="322"/>
        <c:marker>
          <c:symbol val="none"/>
        </c:marker>
      </c:pivotFmt>
      <c:pivotFmt>
        <c:idx val="323"/>
        <c:marker>
          <c:symbol val="none"/>
        </c:marker>
      </c:pivotFmt>
      <c:pivotFmt>
        <c:idx val="324"/>
        <c:marker>
          <c:symbol val="none"/>
        </c:marker>
      </c:pivotFmt>
      <c:pivotFmt>
        <c:idx val="325"/>
        <c:marker>
          <c:symbol val="none"/>
        </c:marker>
      </c:pivotFmt>
      <c:pivotFmt>
        <c:idx val="326"/>
        <c:marker>
          <c:symbol val="none"/>
        </c:marker>
      </c:pivotFmt>
      <c:pivotFmt>
        <c:idx val="327"/>
        <c:marker>
          <c:symbol val="none"/>
        </c:marker>
      </c:pivotFmt>
      <c:pivotFmt>
        <c:idx val="328"/>
        <c:marker>
          <c:symbol val="none"/>
        </c:marker>
      </c:pivotFmt>
      <c:pivotFmt>
        <c:idx val="329"/>
        <c:marker>
          <c:symbol val="none"/>
        </c:marker>
      </c:pivotFmt>
      <c:pivotFmt>
        <c:idx val="330"/>
        <c:marker>
          <c:symbol val="none"/>
        </c:marker>
      </c:pivotFmt>
      <c:pivotFmt>
        <c:idx val="331"/>
        <c:marker>
          <c:symbol val="none"/>
        </c:marker>
      </c:pivotFmt>
      <c:pivotFmt>
        <c:idx val="332"/>
        <c:marker>
          <c:symbol val="none"/>
        </c:marker>
      </c:pivotFmt>
      <c:pivotFmt>
        <c:idx val="333"/>
        <c:marker>
          <c:symbol val="none"/>
        </c:marker>
      </c:pivotFmt>
      <c:pivotFmt>
        <c:idx val="334"/>
        <c:marker>
          <c:symbol val="none"/>
        </c:marker>
      </c:pivotFmt>
      <c:pivotFmt>
        <c:idx val="335"/>
        <c:marker>
          <c:symbol val="none"/>
        </c:marker>
      </c:pivotFmt>
      <c:pivotFmt>
        <c:idx val="336"/>
        <c:marker>
          <c:symbol val="none"/>
        </c:marker>
      </c:pivotFmt>
      <c:pivotFmt>
        <c:idx val="337"/>
        <c:marker>
          <c:symbol val="none"/>
        </c:marker>
      </c:pivotFmt>
      <c:pivotFmt>
        <c:idx val="338"/>
        <c:marker>
          <c:symbol val="none"/>
        </c:marker>
      </c:pivotFmt>
      <c:pivotFmt>
        <c:idx val="339"/>
        <c:marker>
          <c:symbol val="none"/>
        </c:marker>
      </c:pivotFmt>
      <c:pivotFmt>
        <c:idx val="340"/>
        <c:marker>
          <c:symbol val="none"/>
        </c:marker>
      </c:pivotFmt>
      <c:pivotFmt>
        <c:idx val="341"/>
        <c:marker>
          <c:symbol val="none"/>
        </c:marker>
      </c:pivotFmt>
      <c:pivotFmt>
        <c:idx val="342"/>
        <c:marker>
          <c:symbol val="none"/>
        </c:marker>
      </c:pivotFmt>
      <c:pivotFmt>
        <c:idx val="343"/>
        <c:marker>
          <c:symbol val="none"/>
        </c:marker>
      </c:pivotFmt>
      <c:pivotFmt>
        <c:idx val="344"/>
        <c:marker>
          <c:symbol val="none"/>
        </c:marker>
      </c:pivotFmt>
      <c:pivotFmt>
        <c:idx val="345"/>
        <c:marker>
          <c:symbol val="none"/>
        </c:marker>
      </c:pivotFmt>
      <c:pivotFmt>
        <c:idx val="346"/>
        <c:marker>
          <c:symbol val="none"/>
        </c:marker>
      </c:pivotFmt>
      <c:pivotFmt>
        <c:idx val="347"/>
        <c:marker>
          <c:symbol val="none"/>
        </c:marker>
      </c:pivotFmt>
      <c:pivotFmt>
        <c:idx val="348"/>
        <c:marker>
          <c:symbol val="none"/>
        </c:marker>
      </c:pivotFmt>
      <c:pivotFmt>
        <c:idx val="349"/>
        <c:marker>
          <c:symbol val="none"/>
        </c:marker>
      </c:pivotFmt>
      <c:pivotFmt>
        <c:idx val="350"/>
        <c:marker>
          <c:symbol val="none"/>
        </c:marker>
      </c:pivotFmt>
      <c:pivotFmt>
        <c:idx val="351"/>
        <c:marker>
          <c:symbol val="none"/>
        </c:marker>
      </c:pivotFmt>
      <c:pivotFmt>
        <c:idx val="352"/>
        <c:marker>
          <c:symbol val="none"/>
        </c:marker>
      </c:pivotFmt>
      <c:pivotFmt>
        <c:idx val="353"/>
        <c:marker>
          <c:symbol val="none"/>
        </c:marker>
      </c:pivotFmt>
      <c:pivotFmt>
        <c:idx val="354"/>
        <c:marker>
          <c:symbol val="none"/>
        </c:marker>
      </c:pivotFmt>
      <c:pivotFmt>
        <c:idx val="355"/>
        <c:marker>
          <c:symbol val="none"/>
        </c:marker>
      </c:pivotFmt>
      <c:pivotFmt>
        <c:idx val="356"/>
        <c:marker>
          <c:symbol val="none"/>
        </c:marker>
      </c:pivotFmt>
      <c:pivotFmt>
        <c:idx val="357"/>
        <c:marker>
          <c:symbol val="none"/>
        </c:marker>
      </c:pivotFmt>
      <c:pivotFmt>
        <c:idx val="358"/>
        <c:marker>
          <c:symbol val="none"/>
        </c:marker>
      </c:pivotFmt>
      <c:pivotFmt>
        <c:idx val="359"/>
        <c:marker>
          <c:symbol val="none"/>
        </c:marker>
      </c:pivotFmt>
      <c:pivotFmt>
        <c:idx val="360"/>
        <c:marker>
          <c:symbol val="none"/>
        </c:marker>
      </c:pivotFmt>
      <c:pivotFmt>
        <c:idx val="361"/>
        <c:marker>
          <c:symbol val="none"/>
        </c:marker>
      </c:pivotFmt>
      <c:pivotFmt>
        <c:idx val="362"/>
        <c:marker>
          <c:symbol val="none"/>
        </c:marker>
      </c:pivotFmt>
      <c:pivotFmt>
        <c:idx val="363"/>
        <c:marker>
          <c:symbol val="none"/>
        </c:marker>
      </c:pivotFmt>
      <c:pivotFmt>
        <c:idx val="364"/>
        <c:marker>
          <c:symbol val="none"/>
        </c:marker>
      </c:pivotFmt>
      <c:pivotFmt>
        <c:idx val="365"/>
        <c:marker>
          <c:symbol val="none"/>
        </c:marker>
      </c:pivotFmt>
      <c:pivotFmt>
        <c:idx val="366"/>
        <c:marker>
          <c:symbol val="none"/>
        </c:marker>
      </c:pivotFmt>
      <c:pivotFmt>
        <c:idx val="367"/>
        <c:marker>
          <c:symbol val="none"/>
        </c:marker>
      </c:pivotFmt>
      <c:pivotFmt>
        <c:idx val="368"/>
        <c:marker>
          <c:symbol val="none"/>
        </c:marker>
      </c:pivotFmt>
      <c:pivotFmt>
        <c:idx val="369"/>
        <c:marker>
          <c:symbol val="none"/>
        </c:marker>
      </c:pivotFmt>
      <c:pivotFmt>
        <c:idx val="370"/>
        <c:marker>
          <c:symbol val="none"/>
        </c:marker>
      </c:pivotFmt>
      <c:pivotFmt>
        <c:idx val="371"/>
        <c:marker>
          <c:symbol val="none"/>
        </c:marker>
      </c:pivotFmt>
      <c:pivotFmt>
        <c:idx val="372"/>
        <c:marker>
          <c:symbol val="none"/>
        </c:marker>
      </c:pivotFmt>
      <c:pivotFmt>
        <c:idx val="373"/>
        <c:marker>
          <c:symbol val="none"/>
        </c:marker>
      </c:pivotFmt>
      <c:pivotFmt>
        <c:idx val="374"/>
        <c:marker>
          <c:symbol val="none"/>
        </c:marker>
      </c:pivotFmt>
      <c:pivotFmt>
        <c:idx val="375"/>
        <c:marker>
          <c:symbol val="none"/>
        </c:marker>
      </c:pivotFmt>
      <c:pivotFmt>
        <c:idx val="376"/>
        <c:marker>
          <c:symbol val="none"/>
        </c:marker>
      </c:pivotFmt>
      <c:pivotFmt>
        <c:idx val="377"/>
        <c:marker>
          <c:symbol val="none"/>
        </c:marker>
      </c:pivotFmt>
      <c:pivotFmt>
        <c:idx val="378"/>
        <c:marker>
          <c:symbol val="none"/>
        </c:marker>
      </c:pivotFmt>
      <c:pivotFmt>
        <c:idx val="379"/>
        <c:marker>
          <c:symbol val="none"/>
        </c:marker>
      </c:pivotFmt>
      <c:pivotFmt>
        <c:idx val="380"/>
        <c:marker>
          <c:symbol val="none"/>
        </c:marker>
      </c:pivotFmt>
      <c:pivotFmt>
        <c:idx val="381"/>
        <c:marker>
          <c:symbol val="none"/>
        </c:marker>
      </c:pivotFmt>
      <c:pivotFmt>
        <c:idx val="382"/>
        <c:marker>
          <c:symbol val="none"/>
        </c:marker>
      </c:pivotFmt>
      <c:pivotFmt>
        <c:idx val="383"/>
        <c:marker>
          <c:symbol val="none"/>
        </c:marker>
      </c:pivotFmt>
      <c:pivotFmt>
        <c:idx val="384"/>
        <c:marker>
          <c:symbol val="none"/>
        </c:marker>
      </c:pivotFmt>
      <c:pivotFmt>
        <c:idx val="385"/>
        <c:marker>
          <c:symbol val="none"/>
        </c:marker>
      </c:pivotFmt>
      <c:pivotFmt>
        <c:idx val="386"/>
        <c:marker>
          <c:symbol val="none"/>
        </c:marker>
      </c:pivotFmt>
      <c:pivotFmt>
        <c:idx val="387"/>
        <c:marker>
          <c:symbol val="none"/>
        </c:marker>
      </c:pivotFmt>
      <c:pivotFmt>
        <c:idx val="388"/>
        <c:marker>
          <c:symbol val="none"/>
        </c:marker>
      </c:pivotFmt>
      <c:pivotFmt>
        <c:idx val="389"/>
        <c:marker>
          <c:symbol val="none"/>
        </c:marker>
      </c:pivotFmt>
      <c:pivotFmt>
        <c:idx val="390"/>
        <c:marker>
          <c:symbol val="none"/>
        </c:marker>
      </c:pivotFmt>
      <c:pivotFmt>
        <c:idx val="391"/>
        <c:marker>
          <c:symbol val="none"/>
        </c:marker>
      </c:pivotFmt>
      <c:pivotFmt>
        <c:idx val="392"/>
        <c:marker>
          <c:symbol val="none"/>
        </c:marker>
      </c:pivotFmt>
      <c:pivotFmt>
        <c:idx val="393"/>
        <c:marker>
          <c:symbol val="none"/>
        </c:marker>
      </c:pivotFmt>
      <c:pivotFmt>
        <c:idx val="394"/>
        <c:marker>
          <c:symbol val="none"/>
        </c:marker>
      </c:pivotFmt>
      <c:pivotFmt>
        <c:idx val="395"/>
        <c:marker>
          <c:symbol val="none"/>
        </c:marker>
      </c:pivotFmt>
      <c:pivotFmt>
        <c:idx val="396"/>
        <c:marker>
          <c:symbol val="none"/>
        </c:marker>
      </c:pivotFmt>
      <c:pivotFmt>
        <c:idx val="397"/>
        <c:marker>
          <c:symbol val="none"/>
        </c:marker>
      </c:pivotFmt>
      <c:pivotFmt>
        <c:idx val="398"/>
        <c:marker>
          <c:symbol val="none"/>
        </c:marker>
      </c:pivotFmt>
      <c:pivotFmt>
        <c:idx val="399"/>
        <c:marker>
          <c:symbol val="none"/>
        </c:marker>
      </c:pivotFmt>
      <c:pivotFmt>
        <c:idx val="400"/>
        <c:marker>
          <c:symbol val="none"/>
        </c:marker>
      </c:pivotFmt>
      <c:pivotFmt>
        <c:idx val="401"/>
        <c:marker>
          <c:symbol val="none"/>
        </c:marker>
      </c:pivotFmt>
      <c:pivotFmt>
        <c:idx val="402"/>
        <c:marker>
          <c:symbol val="none"/>
        </c:marker>
      </c:pivotFmt>
      <c:pivotFmt>
        <c:idx val="403"/>
        <c:marker>
          <c:symbol val="none"/>
        </c:marker>
      </c:pivotFmt>
      <c:pivotFmt>
        <c:idx val="404"/>
        <c:marker>
          <c:symbol val="none"/>
        </c:marker>
      </c:pivotFmt>
      <c:pivotFmt>
        <c:idx val="405"/>
        <c:marker>
          <c:symbol val="none"/>
        </c:marker>
      </c:pivotFmt>
      <c:pivotFmt>
        <c:idx val="406"/>
        <c:marker>
          <c:symbol val="none"/>
        </c:marker>
      </c:pivotFmt>
      <c:pivotFmt>
        <c:idx val="407"/>
        <c:marker>
          <c:symbol val="none"/>
        </c:marker>
      </c:pivotFmt>
      <c:pivotFmt>
        <c:idx val="408"/>
        <c:marker>
          <c:symbol val="none"/>
        </c:marker>
      </c:pivotFmt>
      <c:pivotFmt>
        <c:idx val="409"/>
        <c:marker>
          <c:symbol val="none"/>
        </c:marker>
      </c:pivotFmt>
      <c:pivotFmt>
        <c:idx val="410"/>
        <c:marker>
          <c:symbol val="none"/>
        </c:marker>
      </c:pivotFmt>
      <c:pivotFmt>
        <c:idx val="411"/>
        <c:marker>
          <c:symbol val="none"/>
        </c:marker>
      </c:pivotFmt>
      <c:pivotFmt>
        <c:idx val="412"/>
        <c:marker>
          <c:symbol val="none"/>
        </c:marker>
      </c:pivotFmt>
      <c:pivotFmt>
        <c:idx val="413"/>
        <c:marker>
          <c:symbol val="none"/>
        </c:marker>
      </c:pivotFmt>
      <c:pivotFmt>
        <c:idx val="414"/>
        <c:marker>
          <c:symbol val="none"/>
        </c:marker>
      </c:pivotFmt>
      <c:pivotFmt>
        <c:idx val="415"/>
        <c:marker>
          <c:symbol val="none"/>
        </c:marker>
      </c:pivotFmt>
      <c:pivotFmt>
        <c:idx val="416"/>
        <c:marker>
          <c:symbol val="none"/>
        </c:marker>
      </c:pivotFmt>
      <c:pivotFmt>
        <c:idx val="417"/>
        <c:marker>
          <c:symbol val="none"/>
        </c:marker>
      </c:pivotFmt>
      <c:pivotFmt>
        <c:idx val="418"/>
        <c:marker>
          <c:symbol val="none"/>
        </c:marker>
      </c:pivotFmt>
      <c:pivotFmt>
        <c:idx val="419"/>
        <c:marker>
          <c:symbol val="none"/>
        </c:marker>
      </c:pivotFmt>
      <c:pivotFmt>
        <c:idx val="420"/>
        <c:marker>
          <c:symbol val="none"/>
        </c:marker>
      </c:pivotFmt>
      <c:pivotFmt>
        <c:idx val="421"/>
        <c:marker>
          <c:symbol val="none"/>
        </c:marker>
      </c:pivotFmt>
      <c:pivotFmt>
        <c:idx val="422"/>
        <c:marker>
          <c:symbol val="none"/>
        </c:marker>
      </c:pivotFmt>
      <c:pivotFmt>
        <c:idx val="423"/>
        <c:marker>
          <c:symbol val="none"/>
        </c:marker>
      </c:pivotFmt>
      <c:pivotFmt>
        <c:idx val="424"/>
        <c:marker>
          <c:symbol val="none"/>
        </c:marker>
      </c:pivotFmt>
      <c:pivotFmt>
        <c:idx val="425"/>
        <c:marker>
          <c:symbol val="none"/>
        </c:marker>
      </c:pivotFmt>
      <c:pivotFmt>
        <c:idx val="426"/>
        <c:marker>
          <c:symbol val="none"/>
        </c:marker>
      </c:pivotFmt>
      <c:pivotFmt>
        <c:idx val="427"/>
        <c:marker>
          <c:symbol val="none"/>
        </c:marker>
      </c:pivotFmt>
      <c:pivotFmt>
        <c:idx val="428"/>
        <c:marker>
          <c:symbol val="none"/>
        </c:marker>
      </c:pivotFmt>
      <c:pivotFmt>
        <c:idx val="429"/>
        <c:marker>
          <c:symbol val="none"/>
        </c:marker>
      </c:pivotFmt>
      <c:pivotFmt>
        <c:idx val="430"/>
        <c:marker>
          <c:symbol val="none"/>
        </c:marker>
      </c:pivotFmt>
      <c:pivotFmt>
        <c:idx val="431"/>
        <c:marker>
          <c:symbol val="none"/>
        </c:marker>
      </c:pivotFmt>
      <c:pivotFmt>
        <c:idx val="432"/>
        <c:marker>
          <c:symbol val="none"/>
        </c:marker>
      </c:pivotFmt>
      <c:pivotFmt>
        <c:idx val="433"/>
        <c:marker>
          <c:symbol val="none"/>
        </c:marker>
      </c:pivotFmt>
      <c:pivotFmt>
        <c:idx val="434"/>
        <c:marker>
          <c:symbol val="none"/>
        </c:marker>
      </c:pivotFmt>
      <c:pivotFmt>
        <c:idx val="435"/>
        <c:marker>
          <c:symbol val="none"/>
        </c:marker>
      </c:pivotFmt>
      <c:pivotFmt>
        <c:idx val="436"/>
        <c:marker>
          <c:symbol val="none"/>
        </c:marker>
      </c:pivotFmt>
      <c:pivotFmt>
        <c:idx val="437"/>
        <c:marker>
          <c:symbol val="none"/>
        </c:marker>
      </c:pivotFmt>
      <c:pivotFmt>
        <c:idx val="438"/>
        <c:marker>
          <c:symbol val="none"/>
        </c:marker>
      </c:pivotFmt>
      <c:pivotFmt>
        <c:idx val="439"/>
        <c:marker>
          <c:symbol val="none"/>
        </c:marker>
      </c:pivotFmt>
      <c:pivotFmt>
        <c:idx val="440"/>
        <c:marker>
          <c:symbol val="none"/>
        </c:marker>
      </c:pivotFmt>
      <c:pivotFmt>
        <c:idx val="441"/>
        <c:marker>
          <c:symbol val="none"/>
        </c:marker>
      </c:pivotFmt>
      <c:pivotFmt>
        <c:idx val="442"/>
        <c:marker>
          <c:symbol val="none"/>
        </c:marker>
      </c:pivotFmt>
      <c:pivotFmt>
        <c:idx val="443"/>
        <c:marker>
          <c:symbol val="none"/>
        </c:marker>
      </c:pivotFmt>
      <c:pivotFmt>
        <c:idx val="444"/>
        <c:marker>
          <c:symbol val="none"/>
        </c:marker>
      </c:pivotFmt>
      <c:pivotFmt>
        <c:idx val="445"/>
        <c:marker>
          <c:symbol val="none"/>
        </c:marker>
      </c:pivotFmt>
      <c:pivotFmt>
        <c:idx val="446"/>
        <c:marker>
          <c:symbol val="none"/>
        </c:marker>
      </c:pivotFmt>
      <c:pivotFmt>
        <c:idx val="447"/>
        <c:marker>
          <c:symbol val="none"/>
        </c:marker>
      </c:pivotFmt>
      <c:pivotFmt>
        <c:idx val="448"/>
        <c:marker>
          <c:symbol val="none"/>
        </c:marker>
      </c:pivotFmt>
      <c:pivotFmt>
        <c:idx val="449"/>
        <c:marker>
          <c:symbol val="none"/>
        </c:marker>
      </c:pivotFmt>
      <c:pivotFmt>
        <c:idx val="450"/>
        <c:marker>
          <c:symbol val="none"/>
        </c:marker>
      </c:pivotFmt>
      <c:pivotFmt>
        <c:idx val="451"/>
        <c:marker>
          <c:symbol val="none"/>
        </c:marker>
      </c:pivotFmt>
      <c:pivotFmt>
        <c:idx val="452"/>
        <c:marker>
          <c:symbol val="none"/>
        </c:marker>
      </c:pivotFmt>
      <c:pivotFmt>
        <c:idx val="453"/>
        <c:marker>
          <c:symbol val="none"/>
        </c:marker>
      </c:pivotFmt>
      <c:pivotFmt>
        <c:idx val="454"/>
        <c:marker>
          <c:symbol val="none"/>
        </c:marker>
      </c:pivotFmt>
      <c:pivotFmt>
        <c:idx val="455"/>
        <c:marker>
          <c:symbol val="none"/>
        </c:marker>
      </c:pivotFmt>
      <c:pivotFmt>
        <c:idx val="456"/>
        <c:marker>
          <c:symbol val="none"/>
        </c:marker>
      </c:pivotFmt>
      <c:pivotFmt>
        <c:idx val="457"/>
        <c:marker>
          <c:symbol val="none"/>
        </c:marker>
      </c:pivotFmt>
      <c:pivotFmt>
        <c:idx val="458"/>
        <c:marker>
          <c:symbol val="none"/>
        </c:marker>
      </c:pivotFmt>
      <c:pivotFmt>
        <c:idx val="459"/>
        <c:marker>
          <c:symbol val="none"/>
        </c:marker>
      </c:pivotFmt>
      <c:pivotFmt>
        <c:idx val="460"/>
        <c:marker>
          <c:symbol val="none"/>
        </c:marker>
      </c:pivotFmt>
      <c:pivotFmt>
        <c:idx val="461"/>
        <c:marker>
          <c:symbol val="none"/>
        </c:marker>
      </c:pivotFmt>
      <c:pivotFmt>
        <c:idx val="462"/>
        <c:marker>
          <c:symbol val="none"/>
        </c:marker>
      </c:pivotFmt>
      <c:pivotFmt>
        <c:idx val="463"/>
        <c:marker>
          <c:symbol val="none"/>
        </c:marker>
      </c:pivotFmt>
      <c:pivotFmt>
        <c:idx val="464"/>
        <c:marker>
          <c:symbol val="none"/>
        </c:marker>
      </c:pivotFmt>
      <c:pivotFmt>
        <c:idx val="465"/>
        <c:marker>
          <c:symbol val="none"/>
        </c:marker>
      </c:pivotFmt>
      <c:pivotFmt>
        <c:idx val="466"/>
        <c:marker>
          <c:symbol val="none"/>
        </c:marker>
      </c:pivotFmt>
      <c:pivotFmt>
        <c:idx val="467"/>
        <c:marker>
          <c:symbol val="none"/>
        </c:marker>
      </c:pivotFmt>
      <c:pivotFmt>
        <c:idx val="468"/>
        <c:marker>
          <c:symbol val="none"/>
        </c:marker>
      </c:pivotFmt>
      <c:pivotFmt>
        <c:idx val="469"/>
        <c:marker>
          <c:symbol val="none"/>
        </c:marker>
      </c:pivotFmt>
      <c:pivotFmt>
        <c:idx val="470"/>
        <c:marker>
          <c:symbol val="none"/>
        </c:marker>
      </c:pivotFmt>
      <c:pivotFmt>
        <c:idx val="471"/>
        <c:marker>
          <c:symbol val="none"/>
        </c:marker>
      </c:pivotFmt>
      <c:pivotFmt>
        <c:idx val="472"/>
        <c:marker>
          <c:symbol val="none"/>
        </c:marker>
      </c:pivotFmt>
      <c:pivotFmt>
        <c:idx val="473"/>
        <c:marker>
          <c:symbol val="none"/>
        </c:marker>
      </c:pivotFmt>
      <c:pivotFmt>
        <c:idx val="474"/>
        <c:marker>
          <c:symbol val="none"/>
        </c:marker>
      </c:pivotFmt>
      <c:pivotFmt>
        <c:idx val="475"/>
        <c:marker>
          <c:symbol val="none"/>
        </c:marker>
      </c:pivotFmt>
      <c:pivotFmt>
        <c:idx val="476"/>
        <c:marker>
          <c:symbol val="none"/>
        </c:marker>
      </c:pivotFmt>
      <c:pivotFmt>
        <c:idx val="477"/>
        <c:marker>
          <c:symbol val="none"/>
        </c:marker>
      </c:pivotFmt>
      <c:pivotFmt>
        <c:idx val="478"/>
        <c:marker>
          <c:symbol val="none"/>
        </c:marker>
      </c:pivotFmt>
      <c:pivotFmt>
        <c:idx val="479"/>
        <c:marker>
          <c:symbol val="none"/>
        </c:marker>
      </c:pivotFmt>
      <c:pivotFmt>
        <c:idx val="480"/>
        <c:marker>
          <c:symbol val="none"/>
        </c:marker>
      </c:pivotFmt>
      <c:pivotFmt>
        <c:idx val="481"/>
        <c:marker>
          <c:symbol val="none"/>
        </c:marker>
      </c:pivotFmt>
      <c:pivotFmt>
        <c:idx val="482"/>
        <c:marker>
          <c:symbol val="none"/>
        </c:marker>
      </c:pivotFmt>
      <c:pivotFmt>
        <c:idx val="483"/>
        <c:marker>
          <c:symbol val="none"/>
        </c:marker>
      </c:pivotFmt>
      <c:pivotFmt>
        <c:idx val="484"/>
        <c:marker>
          <c:symbol val="none"/>
        </c:marker>
      </c:pivotFmt>
      <c:pivotFmt>
        <c:idx val="485"/>
        <c:marker>
          <c:symbol val="none"/>
        </c:marker>
      </c:pivotFmt>
      <c:pivotFmt>
        <c:idx val="486"/>
        <c:marker>
          <c:symbol val="none"/>
        </c:marker>
      </c:pivotFmt>
      <c:pivotFmt>
        <c:idx val="487"/>
        <c:marker>
          <c:symbol val="none"/>
        </c:marker>
      </c:pivotFmt>
      <c:pivotFmt>
        <c:idx val="488"/>
        <c:marker>
          <c:symbol val="none"/>
        </c:marker>
      </c:pivotFmt>
      <c:pivotFmt>
        <c:idx val="489"/>
        <c:marker>
          <c:symbol val="none"/>
        </c:marker>
      </c:pivotFmt>
      <c:pivotFmt>
        <c:idx val="490"/>
        <c:marker>
          <c:symbol val="none"/>
        </c:marker>
      </c:pivotFmt>
      <c:pivotFmt>
        <c:idx val="491"/>
        <c:marker>
          <c:symbol val="none"/>
        </c:marker>
      </c:pivotFmt>
      <c:pivotFmt>
        <c:idx val="492"/>
        <c:marker>
          <c:symbol val="none"/>
        </c:marker>
      </c:pivotFmt>
      <c:pivotFmt>
        <c:idx val="493"/>
        <c:marker>
          <c:symbol val="none"/>
        </c:marker>
      </c:pivotFmt>
      <c:pivotFmt>
        <c:idx val="494"/>
        <c:marker>
          <c:symbol val="none"/>
        </c:marker>
      </c:pivotFmt>
      <c:pivotFmt>
        <c:idx val="495"/>
        <c:marker>
          <c:symbol val="none"/>
        </c:marker>
      </c:pivotFmt>
      <c:pivotFmt>
        <c:idx val="496"/>
        <c:marker>
          <c:symbol val="none"/>
        </c:marker>
      </c:pivotFmt>
      <c:pivotFmt>
        <c:idx val="497"/>
        <c:marker>
          <c:symbol val="none"/>
        </c:marker>
      </c:pivotFmt>
      <c:pivotFmt>
        <c:idx val="498"/>
        <c:marker>
          <c:symbol val="none"/>
        </c:marker>
      </c:pivotFmt>
      <c:pivotFmt>
        <c:idx val="499"/>
        <c:marker>
          <c:symbol val="none"/>
        </c:marker>
      </c:pivotFmt>
      <c:pivotFmt>
        <c:idx val="500"/>
        <c:marker>
          <c:symbol val="none"/>
        </c:marker>
      </c:pivotFmt>
      <c:pivotFmt>
        <c:idx val="501"/>
        <c:marker>
          <c:symbol val="none"/>
        </c:marker>
      </c:pivotFmt>
      <c:pivotFmt>
        <c:idx val="502"/>
        <c:marker>
          <c:symbol val="none"/>
        </c:marker>
      </c:pivotFmt>
      <c:pivotFmt>
        <c:idx val="503"/>
        <c:marker>
          <c:symbol val="none"/>
        </c:marker>
      </c:pivotFmt>
      <c:pivotFmt>
        <c:idx val="504"/>
        <c:marker>
          <c:symbol val="none"/>
        </c:marker>
      </c:pivotFmt>
      <c:pivotFmt>
        <c:idx val="505"/>
        <c:marker>
          <c:symbol val="none"/>
        </c:marker>
      </c:pivotFmt>
      <c:pivotFmt>
        <c:idx val="506"/>
        <c:marker>
          <c:symbol val="none"/>
        </c:marker>
      </c:pivotFmt>
      <c:pivotFmt>
        <c:idx val="507"/>
        <c:marker>
          <c:symbol val="none"/>
        </c:marker>
      </c:pivotFmt>
      <c:pivotFmt>
        <c:idx val="508"/>
        <c:marker>
          <c:symbol val="none"/>
        </c:marker>
      </c:pivotFmt>
      <c:pivotFmt>
        <c:idx val="509"/>
        <c:marker>
          <c:symbol val="none"/>
        </c:marker>
      </c:pivotFmt>
      <c:pivotFmt>
        <c:idx val="510"/>
        <c:marker>
          <c:symbol val="none"/>
        </c:marker>
      </c:pivotFmt>
      <c:pivotFmt>
        <c:idx val="511"/>
        <c:marker>
          <c:symbol val="none"/>
        </c:marker>
      </c:pivotFmt>
      <c:pivotFmt>
        <c:idx val="512"/>
        <c:marker>
          <c:symbol val="none"/>
        </c:marker>
      </c:pivotFmt>
      <c:pivotFmt>
        <c:idx val="513"/>
        <c:marker>
          <c:symbol val="none"/>
        </c:marker>
      </c:pivotFmt>
      <c:pivotFmt>
        <c:idx val="514"/>
        <c:marker>
          <c:symbol val="none"/>
        </c:marker>
      </c:pivotFmt>
      <c:pivotFmt>
        <c:idx val="515"/>
        <c:marker>
          <c:symbol val="none"/>
        </c:marker>
      </c:pivotFmt>
      <c:pivotFmt>
        <c:idx val="516"/>
        <c:marker>
          <c:symbol val="none"/>
        </c:marker>
      </c:pivotFmt>
      <c:pivotFmt>
        <c:idx val="517"/>
        <c:marker>
          <c:symbol val="none"/>
        </c:marker>
      </c:pivotFmt>
      <c:pivotFmt>
        <c:idx val="518"/>
        <c:marker>
          <c:symbol val="none"/>
        </c:marker>
      </c:pivotFmt>
      <c:pivotFmt>
        <c:idx val="519"/>
        <c:marker>
          <c:symbol val="none"/>
        </c:marker>
      </c:pivotFmt>
      <c:pivotFmt>
        <c:idx val="520"/>
        <c:marker>
          <c:symbol val="none"/>
        </c:marker>
      </c:pivotFmt>
      <c:pivotFmt>
        <c:idx val="521"/>
        <c:marker>
          <c:symbol val="none"/>
        </c:marker>
      </c:pivotFmt>
      <c:pivotFmt>
        <c:idx val="522"/>
        <c:marker>
          <c:symbol val="none"/>
        </c:marker>
      </c:pivotFmt>
      <c:pivotFmt>
        <c:idx val="523"/>
        <c:marker>
          <c:symbol val="none"/>
        </c:marker>
      </c:pivotFmt>
      <c:pivotFmt>
        <c:idx val="524"/>
        <c:marker>
          <c:symbol val="none"/>
        </c:marker>
      </c:pivotFmt>
      <c:pivotFmt>
        <c:idx val="525"/>
        <c:marker>
          <c:symbol val="none"/>
        </c:marker>
      </c:pivotFmt>
      <c:pivotFmt>
        <c:idx val="526"/>
        <c:marker>
          <c:symbol val="none"/>
        </c:marker>
      </c:pivotFmt>
      <c:pivotFmt>
        <c:idx val="527"/>
        <c:marker>
          <c:symbol val="none"/>
        </c:marker>
      </c:pivotFmt>
      <c:pivotFmt>
        <c:idx val="528"/>
        <c:marker>
          <c:symbol val="none"/>
        </c:marker>
      </c:pivotFmt>
      <c:pivotFmt>
        <c:idx val="529"/>
        <c:marker>
          <c:symbol val="none"/>
        </c:marker>
      </c:pivotFmt>
      <c:pivotFmt>
        <c:idx val="530"/>
        <c:marker>
          <c:symbol val="none"/>
        </c:marker>
      </c:pivotFmt>
      <c:pivotFmt>
        <c:idx val="531"/>
        <c:marker>
          <c:symbol val="none"/>
        </c:marker>
      </c:pivotFmt>
      <c:pivotFmt>
        <c:idx val="532"/>
        <c:marker>
          <c:symbol val="none"/>
        </c:marker>
      </c:pivotFmt>
      <c:pivotFmt>
        <c:idx val="533"/>
        <c:marker>
          <c:symbol val="none"/>
        </c:marker>
      </c:pivotFmt>
      <c:pivotFmt>
        <c:idx val="534"/>
        <c:marker>
          <c:symbol val="none"/>
        </c:marker>
      </c:pivotFmt>
      <c:pivotFmt>
        <c:idx val="535"/>
        <c:marker>
          <c:symbol val="none"/>
        </c:marker>
      </c:pivotFmt>
      <c:pivotFmt>
        <c:idx val="536"/>
        <c:marker>
          <c:symbol val="none"/>
        </c:marker>
      </c:pivotFmt>
      <c:pivotFmt>
        <c:idx val="537"/>
        <c:marker>
          <c:symbol val="none"/>
        </c:marker>
      </c:pivotFmt>
      <c:pivotFmt>
        <c:idx val="538"/>
        <c:marker>
          <c:symbol val="none"/>
        </c:marker>
      </c:pivotFmt>
      <c:pivotFmt>
        <c:idx val="539"/>
        <c:marker>
          <c:symbol val="none"/>
        </c:marker>
      </c:pivotFmt>
      <c:pivotFmt>
        <c:idx val="540"/>
        <c:marker>
          <c:symbol val="none"/>
        </c:marker>
      </c:pivotFmt>
      <c:pivotFmt>
        <c:idx val="541"/>
        <c:marker>
          <c:symbol val="none"/>
        </c:marker>
      </c:pivotFmt>
      <c:pivotFmt>
        <c:idx val="542"/>
        <c:marker>
          <c:symbol val="none"/>
        </c:marker>
      </c:pivotFmt>
      <c:pivotFmt>
        <c:idx val="543"/>
        <c:marker>
          <c:symbol val="none"/>
        </c:marker>
      </c:pivotFmt>
      <c:pivotFmt>
        <c:idx val="544"/>
        <c:marker>
          <c:symbol val="none"/>
        </c:marker>
      </c:pivotFmt>
      <c:pivotFmt>
        <c:idx val="545"/>
        <c:marker>
          <c:symbol val="none"/>
        </c:marker>
      </c:pivotFmt>
      <c:pivotFmt>
        <c:idx val="546"/>
        <c:marker>
          <c:symbol val="none"/>
        </c:marker>
      </c:pivotFmt>
      <c:pivotFmt>
        <c:idx val="547"/>
        <c:marker>
          <c:symbol val="none"/>
        </c:marker>
      </c:pivotFmt>
      <c:pivotFmt>
        <c:idx val="548"/>
        <c:marker>
          <c:symbol val="none"/>
        </c:marker>
      </c:pivotFmt>
      <c:pivotFmt>
        <c:idx val="549"/>
        <c:marker>
          <c:symbol val="none"/>
        </c:marker>
      </c:pivotFmt>
      <c:pivotFmt>
        <c:idx val="550"/>
        <c:marker>
          <c:symbol val="none"/>
        </c:marker>
      </c:pivotFmt>
      <c:pivotFmt>
        <c:idx val="551"/>
        <c:marker>
          <c:symbol val="none"/>
        </c:marker>
      </c:pivotFmt>
      <c:pivotFmt>
        <c:idx val="552"/>
        <c:marker>
          <c:symbol val="none"/>
        </c:marker>
      </c:pivotFmt>
      <c:pivotFmt>
        <c:idx val="553"/>
        <c:marker>
          <c:symbol val="none"/>
        </c:marker>
      </c:pivotFmt>
      <c:pivotFmt>
        <c:idx val="554"/>
        <c:marker>
          <c:symbol val="none"/>
        </c:marker>
      </c:pivotFmt>
      <c:pivotFmt>
        <c:idx val="555"/>
        <c:marker>
          <c:symbol val="none"/>
        </c:marker>
      </c:pivotFmt>
      <c:pivotFmt>
        <c:idx val="556"/>
        <c:marker>
          <c:symbol val="none"/>
        </c:marker>
      </c:pivotFmt>
      <c:pivotFmt>
        <c:idx val="557"/>
        <c:marker>
          <c:symbol val="none"/>
        </c:marker>
      </c:pivotFmt>
      <c:pivotFmt>
        <c:idx val="558"/>
        <c:marker>
          <c:symbol val="none"/>
        </c:marker>
      </c:pivotFmt>
      <c:pivotFmt>
        <c:idx val="559"/>
        <c:marker>
          <c:symbol val="none"/>
        </c:marker>
      </c:pivotFmt>
      <c:pivotFmt>
        <c:idx val="560"/>
        <c:marker>
          <c:symbol val="none"/>
        </c:marker>
      </c:pivotFmt>
      <c:pivotFmt>
        <c:idx val="561"/>
        <c:marker>
          <c:symbol val="none"/>
        </c:marker>
      </c:pivotFmt>
      <c:pivotFmt>
        <c:idx val="562"/>
        <c:marker>
          <c:symbol val="none"/>
        </c:marker>
      </c:pivotFmt>
      <c:pivotFmt>
        <c:idx val="563"/>
        <c:marker>
          <c:symbol val="none"/>
        </c:marker>
      </c:pivotFmt>
      <c:pivotFmt>
        <c:idx val="564"/>
        <c:marker>
          <c:symbol val="none"/>
        </c:marker>
      </c:pivotFmt>
      <c:pivotFmt>
        <c:idx val="565"/>
        <c:marker>
          <c:symbol val="none"/>
        </c:marker>
      </c:pivotFmt>
      <c:pivotFmt>
        <c:idx val="566"/>
        <c:marker>
          <c:symbol val="none"/>
        </c:marker>
      </c:pivotFmt>
      <c:pivotFmt>
        <c:idx val="567"/>
        <c:marker>
          <c:symbol val="none"/>
        </c:marker>
      </c:pivotFmt>
      <c:pivotFmt>
        <c:idx val="568"/>
        <c:marker>
          <c:symbol val="none"/>
        </c:marker>
      </c:pivotFmt>
      <c:pivotFmt>
        <c:idx val="569"/>
        <c:marker>
          <c:symbol val="none"/>
        </c:marker>
      </c:pivotFmt>
      <c:pivotFmt>
        <c:idx val="570"/>
        <c:marker>
          <c:symbol val="none"/>
        </c:marker>
      </c:pivotFmt>
      <c:pivotFmt>
        <c:idx val="571"/>
        <c:marker>
          <c:symbol val="none"/>
        </c:marker>
      </c:pivotFmt>
      <c:pivotFmt>
        <c:idx val="572"/>
        <c:marker>
          <c:symbol val="none"/>
        </c:marker>
      </c:pivotFmt>
      <c:pivotFmt>
        <c:idx val="573"/>
        <c:marker>
          <c:symbol val="none"/>
        </c:marker>
      </c:pivotFmt>
      <c:pivotFmt>
        <c:idx val="574"/>
        <c:marker>
          <c:symbol val="none"/>
        </c:marker>
      </c:pivotFmt>
      <c:pivotFmt>
        <c:idx val="575"/>
        <c:marker>
          <c:symbol val="none"/>
        </c:marker>
      </c:pivotFmt>
      <c:pivotFmt>
        <c:idx val="576"/>
        <c:marker>
          <c:symbol val="none"/>
        </c:marker>
      </c:pivotFmt>
      <c:pivotFmt>
        <c:idx val="577"/>
        <c:marker>
          <c:symbol val="none"/>
        </c:marker>
      </c:pivotFmt>
      <c:pivotFmt>
        <c:idx val="578"/>
        <c:marker>
          <c:symbol val="none"/>
        </c:marker>
      </c:pivotFmt>
      <c:pivotFmt>
        <c:idx val="579"/>
        <c:marker>
          <c:symbol val="none"/>
        </c:marker>
      </c:pivotFmt>
      <c:pivotFmt>
        <c:idx val="580"/>
        <c:marker>
          <c:symbol val="none"/>
        </c:marker>
      </c:pivotFmt>
      <c:pivotFmt>
        <c:idx val="581"/>
        <c:marker>
          <c:symbol val="none"/>
        </c:marker>
      </c:pivotFmt>
      <c:pivotFmt>
        <c:idx val="582"/>
        <c:marker>
          <c:symbol val="none"/>
        </c:marker>
      </c:pivotFmt>
      <c:pivotFmt>
        <c:idx val="583"/>
        <c:marker>
          <c:symbol val="none"/>
        </c:marker>
      </c:pivotFmt>
      <c:pivotFmt>
        <c:idx val="584"/>
        <c:marker>
          <c:symbol val="none"/>
        </c:marker>
      </c:pivotFmt>
      <c:pivotFmt>
        <c:idx val="585"/>
        <c:marker>
          <c:symbol val="none"/>
        </c:marker>
      </c:pivotFmt>
      <c:pivotFmt>
        <c:idx val="586"/>
        <c:marker>
          <c:symbol val="none"/>
        </c:marker>
      </c:pivotFmt>
      <c:pivotFmt>
        <c:idx val="587"/>
        <c:marker>
          <c:symbol val="none"/>
        </c:marker>
      </c:pivotFmt>
      <c:pivotFmt>
        <c:idx val="588"/>
        <c:marker>
          <c:symbol val="none"/>
        </c:marker>
      </c:pivotFmt>
      <c:pivotFmt>
        <c:idx val="589"/>
        <c:marker>
          <c:symbol val="none"/>
        </c:marker>
      </c:pivotFmt>
      <c:pivotFmt>
        <c:idx val="590"/>
        <c:marker>
          <c:symbol val="none"/>
        </c:marker>
      </c:pivotFmt>
      <c:pivotFmt>
        <c:idx val="591"/>
        <c:marker>
          <c:symbol val="none"/>
        </c:marker>
      </c:pivotFmt>
      <c:pivotFmt>
        <c:idx val="592"/>
        <c:marker>
          <c:symbol val="none"/>
        </c:marker>
      </c:pivotFmt>
      <c:pivotFmt>
        <c:idx val="593"/>
        <c:marker>
          <c:symbol val="none"/>
        </c:marker>
      </c:pivotFmt>
      <c:pivotFmt>
        <c:idx val="594"/>
        <c:marker>
          <c:symbol val="none"/>
        </c:marker>
      </c:pivotFmt>
      <c:pivotFmt>
        <c:idx val="595"/>
        <c:marker>
          <c:symbol val="none"/>
        </c:marker>
      </c:pivotFmt>
      <c:pivotFmt>
        <c:idx val="596"/>
        <c:marker>
          <c:symbol val="none"/>
        </c:marker>
      </c:pivotFmt>
      <c:pivotFmt>
        <c:idx val="597"/>
        <c:marker>
          <c:symbol val="none"/>
        </c:marker>
      </c:pivotFmt>
      <c:pivotFmt>
        <c:idx val="598"/>
        <c:marker>
          <c:symbol val="none"/>
        </c:marker>
      </c:pivotFmt>
      <c:pivotFmt>
        <c:idx val="599"/>
        <c:marker>
          <c:symbol val="none"/>
        </c:marker>
      </c:pivotFmt>
      <c:pivotFmt>
        <c:idx val="600"/>
        <c:marker>
          <c:symbol val="none"/>
        </c:marker>
      </c:pivotFmt>
      <c:pivotFmt>
        <c:idx val="601"/>
        <c:marker>
          <c:symbol val="none"/>
        </c:marker>
      </c:pivotFmt>
      <c:pivotFmt>
        <c:idx val="602"/>
        <c:marker>
          <c:symbol val="none"/>
        </c:marker>
      </c:pivotFmt>
      <c:pivotFmt>
        <c:idx val="603"/>
        <c:marker>
          <c:symbol val="none"/>
        </c:marker>
      </c:pivotFmt>
      <c:pivotFmt>
        <c:idx val="604"/>
        <c:marker>
          <c:symbol val="none"/>
        </c:marker>
      </c:pivotFmt>
      <c:pivotFmt>
        <c:idx val="605"/>
        <c:marker>
          <c:symbol val="none"/>
        </c:marker>
      </c:pivotFmt>
      <c:pivotFmt>
        <c:idx val="606"/>
        <c:marker>
          <c:symbol val="none"/>
        </c:marker>
      </c:pivotFmt>
      <c:pivotFmt>
        <c:idx val="607"/>
        <c:marker>
          <c:symbol val="none"/>
        </c:marker>
      </c:pivotFmt>
      <c:pivotFmt>
        <c:idx val="608"/>
        <c:marker>
          <c:symbol val="none"/>
        </c:marker>
      </c:pivotFmt>
      <c:pivotFmt>
        <c:idx val="609"/>
        <c:marker>
          <c:symbol val="none"/>
        </c:marker>
      </c:pivotFmt>
      <c:pivotFmt>
        <c:idx val="610"/>
        <c:marker>
          <c:symbol val="none"/>
        </c:marker>
      </c:pivotFmt>
      <c:pivotFmt>
        <c:idx val="611"/>
        <c:marker>
          <c:symbol val="none"/>
        </c:marker>
      </c:pivotFmt>
      <c:pivotFmt>
        <c:idx val="612"/>
        <c:marker>
          <c:symbol val="none"/>
        </c:marker>
      </c:pivotFmt>
      <c:pivotFmt>
        <c:idx val="613"/>
        <c:marker>
          <c:symbol val="none"/>
        </c:marker>
      </c:pivotFmt>
      <c:pivotFmt>
        <c:idx val="614"/>
        <c:marker>
          <c:symbol val="none"/>
        </c:marker>
      </c:pivotFmt>
      <c:pivotFmt>
        <c:idx val="615"/>
        <c:marker>
          <c:symbol val="none"/>
        </c:marker>
      </c:pivotFmt>
      <c:pivotFmt>
        <c:idx val="616"/>
        <c:marker>
          <c:symbol val="none"/>
        </c:marker>
      </c:pivotFmt>
      <c:pivotFmt>
        <c:idx val="617"/>
        <c:marker>
          <c:symbol val="none"/>
        </c:marker>
      </c:pivotFmt>
      <c:pivotFmt>
        <c:idx val="618"/>
        <c:marker>
          <c:symbol val="none"/>
        </c:marker>
      </c:pivotFmt>
      <c:pivotFmt>
        <c:idx val="619"/>
        <c:marker>
          <c:symbol val="none"/>
        </c:marker>
      </c:pivotFmt>
      <c:pivotFmt>
        <c:idx val="620"/>
        <c:marker>
          <c:symbol val="none"/>
        </c:marker>
      </c:pivotFmt>
      <c:pivotFmt>
        <c:idx val="621"/>
        <c:marker>
          <c:symbol val="none"/>
        </c:marker>
      </c:pivotFmt>
      <c:pivotFmt>
        <c:idx val="622"/>
        <c:marker>
          <c:symbol val="none"/>
        </c:marker>
      </c:pivotFmt>
      <c:pivotFmt>
        <c:idx val="623"/>
        <c:marker>
          <c:symbol val="none"/>
        </c:marker>
      </c:pivotFmt>
      <c:pivotFmt>
        <c:idx val="624"/>
        <c:marker>
          <c:symbol val="none"/>
        </c:marker>
      </c:pivotFmt>
      <c:pivotFmt>
        <c:idx val="625"/>
        <c:marker>
          <c:symbol val="none"/>
        </c:marker>
      </c:pivotFmt>
      <c:pivotFmt>
        <c:idx val="626"/>
        <c:marker>
          <c:symbol val="none"/>
        </c:marker>
      </c:pivotFmt>
      <c:pivotFmt>
        <c:idx val="627"/>
        <c:marker>
          <c:symbol val="none"/>
        </c:marker>
      </c:pivotFmt>
      <c:pivotFmt>
        <c:idx val="628"/>
        <c:marker>
          <c:symbol val="none"/>
        </c:marker>
      </c:pivotFmt>
      <c:pivotFmt>
        <c:idx val="629"/>
        <c:marker>
          <c:symbol val="none"/>
        </c:marker>
      </c:pivotFmt>
      <c:pivotFmt>
        <c:idx val="630"/>
        <c:marker>
          <c:symbol val="none"/>
        </c:marker>
      </c:pivotFmt>
      <c:pivotFmt>
        <c:idx val="631"/>
        <c:marker>
          <c:symbol val="none"/>
        </c:marker>
      </c:pivotFmt>
      <c:pivotFmt>
        <c:idx val="632"/>
        <c:marker>
          <c:symbol val="none"/>
        </c:marker>
      </c:pivotFmt>
      <c:pivotFmt>
        <c:idx val="633"/>
        <c:marker>
          <c:symbol val="none"/>
        </c:marker>
      </c:pivotFmt>
      <c:pivotFmt>
        <c:idx val="634"/>
        <c:marker>
          <c:symbol val="none"/>
        </c:marker>
      </c:pivotFmt>
      <c:pivotFmt>
        <c:idx val="635"/>
        <c:marker>
          <c:symbol val="none"/>
        </c:marker>
      </c:pivotFmt>
      <c:pivotFmt>
        <c:idx val="636"/>
        <c:marker>
          <c:symbol val="none"/>
        </c:marker>
      </c:pivotFmt>
      <c:pivotFmt>
        <c:idx val="637"/>
        <c:marker>
          <c:symbol val="none"/>
        </c:marker>
      </c:pivotFmt>
      <c:pivotFmt>
        <c:idx val="638"/>
        <c:marker>
          <c:symbol val="none"/>
        </c:marker>
      </c:pivotFmt>
      <c:pivotFmt>
        <c:idx val="639"/>
        <c:marker>
          <c:symbol val="none"/>
        </c:marker>
      </c:pivotFmt>
      <c:pivotFmt>
        <c:idx val="640"/>
        <c:marker>
          <c:symbol val="none"/>
        </c:marker>
      </c:pivotFmt>
      <c:pivotFmt>
        <c:idx val="641"/>
        <c:marker>
          <c:symbol val="none"/>
        </c:marker>
      </c:pivotFmt>
      <c:pivotFmt>
        <c:idx val="642"/>
        <c:marker>
          <c:symbol val="none"/>
        </c:marker>
      </c:pivotFmt>
      <c:pivotFmt>
        <c:idx val="643"/>
        <c:marker>
          <c:symbol val="none"/>
        </c:marker>
      </c:pivotFmt>
      <c:pivotFmt>
        <c:idx val="644"/>
        <c:marker>
          <c:symbol val="none"/>
        </c:marker>
      </c:pivotFmt>
      <c:pivotFmt>
        <c:idx val="645"/>
        <c:marker>
          <c:symbol val="none"/>
        </c:marker>
      </c:pivotFmt>
      <c:pivotFmt>
        <c:idx val="646"/>
        <c:marker>
          <c:symbol val="none"/>
        </c:marker>
      </c:pivotFmt>
      <c:pivotFmt>
        <c:idx val="647"/>
        <c:marker>
          <c:symbol val="none"/>
        </c:marker>
      </c:pivotFmt>
      <c:pivotFmt>
        <c:idx val="648"/>
        <c:marker>
          <c:symbol val="none"/>
        </c:marker>
      </c:pivotFmt>
      <c:pivotFmt>
        <c:idx val="649"/>
        <c:marker>
          <c:symbol val="none"/>
        </c:marker>
      </c:pivotFmt>
      <c:pivotFmt>
        <c:idx val="650"/>
        <c:marker>
          <c:symbol val="none"/>
        </c:marker>
      </c:pivotFmt>
      <c:pivotFmt>
        <c:idx val="651"/>
        <c:marker>
          <c:symbol val="none"/>
        </c:marker>
      </c:pivotFmt>
      <c:pivotFmt>
        <c:idx val="652"/>
        <c:marker>
          <c:symbol val="none"/>
        </c:marker>
      </c:pivotFmt>
      <c:pivotFmt>
        <c:idx val="653"/>
        <c:marker>
          <c:symbol val="none"/>
        </c:marker>
      </c:pivotFmt>
      <c:pivotFmt>
        <c:idx val="654"/>
        <c:marker>
          <c:symbol val="none"/>
        </c:marker>
      </c:pivotFmt>
      <c:pivotFmt>
        <c:idx val="655"/>
        <c:marker>
          <c:symbol val="none"/>
        </c:marker>
      </c:pivotFmt>
      <c:pivotFmt>
        <c:idx val="656"/>
        <c:marker>
          <c:symbol val="none"/>
        </c:marker>
      </c:pivotFmt>
      <c:pivotFmt>
        <c:idx val="657"/>
        <c:marker>
          <c:symbol val="none"/>
        </c:marker>
      </c:pivotFmt>
      <c:pivotFmt>
        <c:idx val="658"/>
        <c:marker>
          <c:symbol val="none"/>
        </c:marker>
      </c:pivotFmt>
      <c:pivotFmt>
        <c:idx val="659"/>
        <c:marker>
          <c:symbol val="none"/>
        </c:marker>
      </c:pivotFmt>
      <c:pivotFmt>
        <c:idx val="660"/>
        <c:marker>
          <c:symbol val="none"/>
        </c:marker>
      </c:pivotFmt>
      <c:pivotFmt>
        <c:idx val="661"/>
        <c:marker>
          <c:symbol val="none"/>
        </c:marker>
      </c:pivotFmt>
      <c:pivotFmt>
        <c:idx val="662"/>
        <c:marker>
          <c:symbol val="none"/>
        </c:marker>
      </c:pivotFmt>
      <c:pivotFmt>
        <c:idx val="663"/>
        <c:marker>
          <c:symbol val="none"/>
        </c:marker>
      </c:pivotFmt>
      <c:pivotFmt>
        <c:idx val="664"/>
        <c:marker>
          <c:symbol val="none"/>
        </c:marker>
      </c:pivotFmt>
      <c:pivotFmt>
        <c:idx val="665"/>
        <c:marker>
          <c:symbol val="none"/>
        </c:marker>
      </c:pivotFmt>
      <c:pivotFmt>
        <c:idx val="666"/>
        <c:marker>
          <c:symbol val="none"/>
        </c:marker>
      </c:pivotFmt>
      <c:pivotFmt>
        <c:idx val="667"/>
        <c:marker>
          <c:symbol val="none"/>
        </c:marker>
      </c:pivotFmt>
      <c:pivotFmt>
        <c:idx val="668"/>
        <c:marker>
          <c:symbol val="none"/>
        </c:marker>
      </c:pivotFmt>
      <c:pivotFmt>
        <c:idx val="669"/>
        <c:marker>
          <c:symbol val="none"/>
        </c:marker>
      </c:pivotFmt>
      <c:pivotFmt>
        <c:idx val="670"/>
        <c:marker>
          <c:symbol val="none"/>
        </c:marker>
      </c:pivotFmt>
      <c:pivotFmt>
        <c:idx val="671"/>
        <c:marker>
          <c:symbol val="none"/>
        </c:marker>
      </c:pivotFmt>
      <c:pivotFmt>
        <c:idx val="672"/>
        <c:marker>
          <c:symbol val="none"/>
        </c:marker>
      </c:pivotFmt>
      <c:pivotFmt>
        <c:idx val="673"/>
        <c:marker>
          <c:symbol val="none"/>
        </c:marker>
      </c:pivotFmt>
      <c:pivotFmt>
        <c:idx val="674"/>
        <c:marker>
          <c:symbol val="none"/>
        </c:marker>
      </c:pivotFmt>
      <c:pivotFmt>
        <c:idx val="675"/>
        <c:marker>
          <c:symbol val="none"/>
        </c:marker>
      </c:pivotFmt>
      <c:pivotFmt>
        <c:idx val="676"/>
        <c:marker>
          <c:symbol val="none"/>
        </c:marker>
      </c:pivotFmt>
      <c:pivotFmt>
        <c:idx val="677"/>
        <c:marker>
          <c:symbol val="none"/>
        </c:marker>
      </c:pivotFmt>
      <c:pivotFmt>
        <c:idx val="678"/>
        <c:marker>
          <c:symbol val="none"/>
        </c:marker>
      </c:pivotFmt>
      <c:pivotFmt>
        <c:idx val="679"/>
        <c:marker>
          <c:symbol val="none"/>
        </c:marker>
      </c:pivotFmt>
      <c:pivotFmt>
        <c:idx val="680"/>
        <c:marker>
          <c:symbol val="none"/>
        </c:marker>
      </c:pivotFmt>
      <c:pivotFmt>
        <c:idx val="681"/>
        <c:marker>
          <c:symbol val="none"/>
        </c:marker>
      </c:pivotFmt>
      <c:pivotFmt>
        <c:idx val="682"/>
        <c:marker>
          <c:symbol val="none"/>
        </c:marker>
      </c:pivotFmt>
      <c:pivotFmt>
        <c:idx val="683"/>
        <c:marker>
          <c:symbol val="none"/>
        </c:marker>
      </c:pivotFmt>
      <c:pivotFmt>
        <c:idx val="684"/>
        <c:marker>
          <c:symbol val="none"/>
        </c:marker>
      </c:pivotFmt>
      <c:pivotFmt>
        <c:idx val="685"/>
        <c:marker>
          <c:symbol val="none"/>
        </c:marker>
      </c:pivotFmt>
      <c:pivotFmt>
        <c:idx val="686"/>
        <c:marker>
          <c:symbol val="none"/>
        </c:marker>
      </c:pivotFmt>
      <c:pivotFmt>
        <c:idx val="687"/>
        <c:marker>
          <c:symbol val="none"/>
        </c:marker>
      </c:pivotFmt>
      <c:pivotFmt>
        <c:idx val="688"/>
        <c:marker>
          <c:symbol val="none"/>
        </c:marker>
      </c:pivotFmt>
      <c:pivotFmt>
        <c:idx val="689"/>
        <c:marker>
          <c:symbol val="none"/>
        </c:marker>
      </c:pivotFmt>
      <c:pivotFmt>
        <c:idx val="690"/>
        <c:marker>
          <c:symbol val="none"/>
        </c:marker>
      </c:pivotFmt>
      <c:pivotFmt>
        <c:idx val="691"/>
        <c:marker>
          <c:symbol val="none"/>
        </c:marker>
      </c:pivotFmt>
      <c:pivotFmt>
        <c:idx val="692"/>
        <c:marker>
          <c:symbol val="none"/>
        </c:marker>
      </c:pivotFmt>
      <c:pivotFmt>
        <c:idx val="693"/>
        <c:marker>
          <c:symbol val="none"/>
        </c:marker>
      </c:pivotFmt>
      <c:pivotFmt>
        <c:idx val="694"/>
        <c:marker>
          <c:symbol val="none"/>
        </c:marker>
      </c:pivotFmt>
      <c:pivotFmt>
        <c:idx val="695"/>
        <c:marker>
          <c:symbol val="none"/>
        </c:marker>
      </c:pivotFmt>
      <c:pivotFmt>
        <c:idx val="696"/>
        <c:marker>
          <c:symbol val="none"/>
        </c:marker>
      </c:pivotFmt>
      <c:pivotFmt>
        <c:idx val="697"/>
        <c:marker>
          <c:symbol val="none"/>
        </c:marker>
      </c:pivotFmt>
      <c:pivotFmt>
        <c:idx val="698"/>
        <c:marker>
          <c:symbol val="none"/>
        </c:marker>
      </c:pivotFmt>
      <c:pivotFmt>
        <c:idx val="699"/>
        <c:marker>
          <c:symbol val="none"/>
        </c:marker>
      </c:pivotFmt>
      <c:pivotFmt>
        <c:idx val="700"/>
        <c:marker>
          <c:symbol val="none"/>
        </c:marker>
      </c:pivotFmt>
      <c:pivotFmt>
        <c:idx val="701"/>
        <c:marker>
          <c:symbol val="none"/>
        </c:marker>
      </c:pivotFmt>
      <c:pivotFmt>
        <c:idx val="702"/>
        <c:marker>
          <c:symbol val="none"/>
        </c:marker>
      </c:pivotFmt>
      <c:pivotFmt>
        <c:idx val="703"/>
        <c:marker>
          <c:symbol val="none"/>
        </c:marker>
      </c:pivotFmt>
      <c:pivotFmt>
        <c:idx val="704"/>
        <c:marker>
          <c:symbol val="none"/>
        </c:marker>
      </c:pivotFmt>
      <c:pivotFmt>
        <c:idx val="705"/>
        <c:marker>
          <c:symbol val="none"/>
        </c:marker>
      </c:pivotFmt>
      <c:pivotFmt>
        <c:idx val="706"/>
        <c:marker>
          <c:symbol val="none"/>
        </c:marker>
      </c:pivotFmt>
      <c:pivotFmt>
        <c:idx val="707"/>
        <c:marker>
          <c:symbol val="none"/>
        </c:marker>
      </c:pivotFmt>
      <c:pivotFmt>
        <c:idx val="708"/>
        <c:marker>
          <c:symbol val="none"/>
        </c:marker>
      </c:pivotFmt>
      <c:pivotFmt>
        <c:idx val="709"/>
        <c:marker>
          <c:symbol val="none"/>
        </c:marker>
      </c:pivotFmt>
      <c:pivotFmt>
        <c:idx val="710"/>
        <c:marker>
          <c:symbol val="none"/>
        </c:marker>
      </c:pivotFmt>
      <c:pivotFmt>
        <c:idx val="711"/>
        <c:marker>
          <c:symbol val="none"/>
        </c:marker>
      </c:pivotFmt>
      <c:pivotFmt>
        <c:idx val="712"/>
        <c:marker>
          <c:symbol val="none"/>
        </c:marker>
      </c:pivotFmt>
      <c:pivotFmt>
        <c:idx val="713"/>
        <c:marker>
          <c:symbol val="none"/>
        </c:marker>
      </c:pivotFmt>
      <c:pivotFmt>
        <c:idx val="714"/>
        <c:marker>
          <c:symbol val="none"/>
        </c:marker>
      </c:pivotFmt>
      <c:pivotFmt>
        <c:idx val="715"/>
        <c:marker>
          <c:symbol val="none"/>
        </c:marker>
      </c:pivotFmt>
      <c:pivotFmt>
        <c:idx val="716"/>
        <c:marker>
          <c:symbol val="none"/>
        </c:marker>
      </c:pivotFmt>
      <c:pivotFmt>
        <c:idx val="717"/>
        <c:marker>
          <c:symbol val="none"/>
        </c:marker>
      </c:pivotFmt>
      <c:pivotFmt>
        <c:idx val="718"/>
        <c:marker>
          <c:symbol val="none"/>
        </c:marker>
      </c:pivotFmt>
      <c:pivotFmt>
        <c:idx val="719"/>
        <c:marker>
          <c:symbol val="none"/>
        </c:marker>
      </c:pivotFmt>
      <c:pivotFmt>
        <c:idx val="720"/>
        <c:marker>
          <c:symbol val="none"/>
        </c:marker>
      </c:pivotFmt>
    </c:pivotFmts>
    <c:plotArea>
      <c:layout/>
      <c:barChart>
        <c:barDir val="bar"/>
        <c:grouping val="stacked"/>
        <c:varyColors val="0"/>
        <c:ser>
          <c:idx val="0"/>
          <c:order val="0"/>
          <c:tx>
            <c:strRef>
              <c:f>'comparators (2)'!$B$37:$B$38</c:f>
              <c:strCache>
                <c:ptCount val="1"/>
                <c:pt idx="0">
                  <c:v>BLACKBURN WITH DARWEN UA</c:v>
                </c:pt>
              </c:strCache>
            </c:strRef>
          </c:tx>
          <c:invertIfNegative val="0"/>
          <c:cat>
            <c:strRef>
              <c:f>'comparators (2)'!$A$39:$A$45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(2)'!$B$39:$B$45</c:f>
              <c:numCache>
                <c:formatCode>General</c:formatCode>
                <c:ptCount val="6"/>
                <c:pt idx="1">
                  <c:v>373</c:v>
                </c:pt>
                <c:pt idx="2">
                  <c:v>22</c:v>
                </c:pt>
              </c:numCache>
            </c:numRef>
          </c:val>
        </c:ser>
        <c:ser>
          <c:idx val="1"/>
          <c:order val="1"/>
          <c:tx>
            <c:strRef>
              <c:f>'comparators (2)'!$C$37:$C$38</c:f>
              <c:strCache>
                <c:ptCount val="1"/>
                <c:pt idx="0">
                  <c:v>BLACKPOOL UA</c:v>
                </c:pt>
              </c:strCache>
            </c:strRef>
          </c:tx>
          <c:invertIfNegative val="0"/>
          <c:cat>
            <c:strRef>
              <c:f>'comparators (2)'!$A$39:$A$45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(2)'!$C$39:$C$45</c:f>
              <c:numCache>
                <c:formatCode>General</c:formatCode>
                <c:ptCount val="6"/>
                <c:pt idx="0">
                  <c:v>339</c:v>
                </c:pt>
                <c:pt idx="3">
                  <c:v>34</c:v>
                </c:pt>
              </c:numCache>
            </c:numRef>
          </c:val>
        </c:ser>
        <c:ser>
          <c:idx val="2"/>
          <c:order val="2"/>
          <c:tx>
            <c:strRef>
              <c:f>'comparators (2)'!$D$37:$D$38</c:f>
              <c:strCache>
                <c:ptCount val="1"/>
                <c:pt idx="0">
                  <c:v>CUMBRIA</c:v>
                </c:pt>
              </c:strCache>
            </c:strRef>
          </c:tx>
          <c:invertIfNegative val="0"/>
          <c:cat>
            <c:strRef>
              <c:f>'comparators (2)'!$A$39:$A$45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(2)'!$D$39:$D$45</c:f>
              <c:numCache>
                <c:formatCode>General</c:formatCode>
                <c:ptCount val="6"/>
                <c:pt idx="3">
                  <c:v>33</c:v>
                </c:pt>
                <c:pt idx="5">
                  <c:v>347</c:v>
                </c:pt>
              </c:numCache>
            </c:numRef>
          </c:val>
        </c:ser>
        <c:ser>
          <c:idx val="3"/>
          <c:order val="3"/>
          <c:tx>
            <c:strRef>
              <c:f>'comparators (2)'!$E$37:$E$38</c:f>
              <c:strCache>
                <c:ptCount val="1"/>
                <c:pt idx="0">
                  <c:v>LANCASHIRE</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'comparators (2)'!$A$39:$A$45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(2)'!$E$39:$E$45</c:f>
              <c:numCache>
                <c:formatCode>General</c:formatCode>
                <c:ptCount val="6"/>
                <c:pt idx="0">
                  <c:v>371</c:v>
                </c:pt>
                <c:pt idx="1">
                  <c:v>551</c:v>
                </c:pt>
                <c:pt idx="2">
                  <c:v>197</c:v>
                </c:pt>
                <c:pt idx="3">
                  <c:v>1211</c:v>
                </c:pt>
                <c:pt idx="4">
                  <c:v>56</c:v>
                </c:pt>
                <c:pt idx="5">
                  <c:v>411</c:v>
                </c:pt>
              </c:numCache>
            </c:numRef>
          </c:val>
        </c:ser>
        <c:ser>
          <c:idx val="4"/>
          <c:order val="4"/>
          <c:tx>
            <c:strRef>
              <c:f>'comparators (2)'!$F$37:$F$38</c:f>
              <c:strCache>
                <c:ptCount val="1"/>
                <c:pt idx="0">
                  <c:v>LIVERPOOL</c:v>
                </c:pt>
              </c:strCache>
            </c:strRef>
          </c:tx>
          <c:invertIfNegative val="0"/>
          <c:cat>
            <c:strRef>
              <c:f>'comparators (2)'!$A$39:$A$45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(2)'!$F$39:$F$45</c:f>
              <c:numCache>
                <c:formatCode>General</c:formatCode>
                <c:ptCount val="6"/>
                <c:pt idx="3">
                  <c:v>3</c:v>
                </c:pt>
              </c:numCache>
            </c:numRef>
          </c:val>
        </c:ser>
        <c:ser>
          <c:idx val="5"/>
          <c:order val="5"/>
          <c:tx>
            <c:strRef>
              <c:f>'comparators (2)'!$G$37:$G$38</c:f>
              <c:strCache>
                <c:ptCount val="1"/>
                <c:pt idx="0">
                  <c:v>NORTH YORKSHIRE</c:v>
                </c:pt>
              </c:strCache>
            </c:strRef>
          </c:tx>
          <c:invertIfNegative val="0"/>
          <c:cat>
            <c:strRef>
              <c:f>'comparators (2)'!$A$39:$A$45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(2)'!$G$39:$G$45</c:f>
              <c:numCache>
                <c:formatCode>General</c:formatCode>
                <c:ptCount val="6"/>
                <c:pt idx="5">
                  <c:v>14</c:v>
                </c:pt>
              </c:numCache>
            </c:numRef>
          </c:val>
        </c:ser>
        <c:ser>
          <c:idx val="6"/>
          <c:order val="6"/>
          <c:tx>
            <c:strRef>
              <c:f>'comparators (2)'!$H$37:$H$38</c:f>
              <c:strCache>
                <c:ptCount val="1"/>
                <c:pt idx="0">
                  <c:v>SEFTON</c:v>
                </c:pt>
              </c:strCache>
            </c:strRef>
          </c:tx>
          <c:invertIfNegative val="0"/>
          <c:cat>
            <c:strRef>
              <c:f>'comparators (2)'!$A$39:$A$45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(2)'!$H$39:$H$45</c:f>
              <c:numCache>
                <c:formatCode>General</c:formatCode>
                <c:ptCount val="6"/>
                <c:pt idx="4">
                  <c:v>119</c:v>
                </c:pt>
              </c:numCache>
            </c:numRef>
          </c:val>
        </c:ser>
        <c:dLbls>
          <c:showLegendKey val="0"/>
          <c:showVal val="0"/>
          <c:showCatName val="0"/>
          <c:showSerName val="0"/>
          <c:showPercent val="0"/>
          <c:showBubbleSize val="0"/>
        </c:dLbls>
        <c:gapWidth val="150"/>
        <c:overlap val="100"/>
        <c:axId val="345232704"/>
        <c:axId val="345233096"/>
      </c:barChart>
      <c:catAx>
        <c:axId val="345232704"/>
        <c:scaling>
          <c:orientation val="maxMin"/>
        </c:scaling>
        <c:delete val="0"/>
        <c:axPos val="l"/>
        <c:numFmt formatCode="General" sourceLinked="0"/>
        <c:majorTickMark val="out"/>
        <c:minorTickMark val="none"/>
        <c:tickLblPos val="nextTo"/>
        <c:txPr>
          <a:bodyPr/>
          <a:lstStyle/>
          <a:p>
            <a:pPr>
              <a:defRPr sz="800" baseline="0"/>
            </a:pPr>
            <a:endParaRPr lang="en-US"/>
          </a:p>
        </c:txPr>
        <c:crossAx val="345233096"/>
        <c:crosses val="autoZero"/>
        <c:auto val="1"/>
        <c:lblAlgn val="ctr"/>
        <c:lblOffset val="100"/>
        <c:noMultiLvlLbl val="0"/>
      </c:catAx>
      <c:valAx>
        <c:axId val="345233096"/>
        <c:scaling>
          <c:orientation val="minMax"/>
        </c:scaling>
        <c:delete val="0"/>
        <c:axPos val="t"/>
        <c:majorGridlines/>
        <c:numFmt formatCode="General" sourceLinked="1"/>
        <c:majorTickMark val="out"/>
        <c:minorTickMark val="none"/>
        <c:tickLblPos val="nextTo"/>
        <c:crossAx val="345232704"/>
        <c:crosses val="autoZero"/>
        <c:crossBetween val="between"/>
      </c:valAx>
    </c:plotArea>
    <c:legend>
      <c:legendPos val="b"/>
      <c:layout/>
      <c:overlay val="0"/>
      <c:txPr>
        <a:bodyPr/>
        <a:lstStyle/>
        <a:p>
          <a:pPr>
            <a:defRPr sz="800" baseline="0"/>
          </a:pPr>
          <a:endParaRPr lang="en-US"/>
        </a:p>
      </c:txPr>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[DTOC 2016_17 to 2018_19 revised1.xlsx]comparators (2)!PivotTable2</c:name>
    <c:fmtId val="875"/>
  </c:pivotSource>
  <c:chart>
    <c:title>
      <c:tx>
        <c:rich>
          <a:bodyPr/>
          <a:lstStyle/>
          <a:p>
            <a:pPr>
              <a:defRPr/>
            </a:pPr>
            <a:r>
              <a:rPr lang="en-GB" sz="1200" b="1" i="0" baseline="0">
                <a:effectLst/>
              </a:rPr>
              <a:t>Jun-18 to Aug-18 - major reasons for delays in Lancashire </a:t>
            </a:r>
            <a:endParaRPr lang="en-GB" sz="1200">
              <a:effectLst/>
            </a:endParaRPr>
          </a:p>
        </c:rich>
      </c:tx>
      <c:layout>
        <c:manualLayout>
          <c:xMode val="edge"/>
          <c:yMode val="edge"/>
          <c:x val="0.16769366412347014"/>
          <c:y val="2.8718695230969433E-2"/>
        </c:manualLayout>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pivotFmt>
      <c:pivotFmt>
        <c:idx val="61"/>
        <c:marker>
          <c:symbol val="none"/>
        </c:marker>
      </c:pivotFmt>
      <c:pivotFmt>
        <c:idx val="62"/>
        <c:marker>
          <c:symbol val="none"/>
        </c:marker>
      </c:pivotFmt>
      <c:pivotFmt>
        <c:idx val="63"/>
        <c:marker>
          <c:symbol val="none"/>
        </c:marker>
      </c:pivotFmt>
      <c:pivotFmt>
        <c:idx val="64"/>
        <c:marker>
          <c:symbol val="none"/>
        </c:marker>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pivotFmt>
      <c:pivotFmt>
        <c:idx val="76"/>
        <c:marker>
          <c:symbol val="none"/>
        </c:marker>
      </c:pivotFmt>
      <c:pivotFmt>
        <c:idx val="77"/>
        <c:marker>
          <c:symbol val="none"/>
        </c:marker>
      </c:pivotFmt>
      <c:pivotFmt>
        <c:idx val="78"/>
        <c:marker>
          <c:symbol val="none"/>
        </c:marker>
      </c:pivotFmt>
      <c:pivotFmt>
        <c:idx val="79"/>
        <c:marker>
          <c:symbol val="none"/>
        </c:marker>
      </c:pivotFmt>
      <c:pivotFmt>
        <c:idx val="80"/>
        <c:marker>
          <c:symbol val="none"/>
        </c:marker>
      </c:pivotFmt>
      <c:pivotFmt>
        <c:idx val="81"/>
        <c:marker>
          <c:symbol val="none"/>
        </c:marker>
      </c:pivotFmt>
      <c:pivotFmt>
        <c:idx val="82"/>
        <c:marker>
          <c:symbol val="none"/>
        </c:marker>
      </c:pivotFmt>
      <c:pivotFmt>
        <c:idx val="83"/>
        <c:marker>
          <c:symbol val="none"/>
        </c:marker>
      </c:pivotFmt>
      <c:pivotFmt>
        <c:idx val="84"/>
        <c:marker>
          <c:symbol val="none"/>
        </c:marker>
      </c:pivotFmt>
      <c:pivotFmt>
        <c:idx val="85"/>
        <c:marker>
          <c:symbol val="none"/>
        </c:marker>
      </c:pivotFmt>
      <c:pivotFmt>
        <c:idx val="86"/>
        <c:marker>
          <c:symbol val="none"/>
        </c:marker>
      </c:pivotFmt>
      <c:pivotFmt>
        <c:idx val="87"/>
        <c:marker>
          <c:symbol val="none"/>
        </c:marker>
      </c:pivotFmt>
      <c:pivotFmt>
        <c:idx val="88"/>
        <c:marker>
          <c:symbol val="none"/>
        </c:marker>
      </c:pivotFmt>
      <c:pivotFmt>
        <c:idx val="89"/>
        <c:marker>
          <c:symbol val="none"/>
        </c:marker>
      </c:pivotFmt>
      <c:pivotFmt>
        <c:idx val="90"/>
        <c:marker>
          <c:symbol val="none"/>
        </c:marker>
      </c:pivotFmt>
      <c:pivotFmt>
        <c:idx val="91"/>
        <c:marker>
          <c:symbol val="none"/>
        </c:marker>
      </c:pivotFmt>
      <c:pivotFmt>
        <c:idx val="92"/>
        <c:marker>
          <c:symbol val="none"/>
        </c:marker>
      </c:pivotFmt>
      <c:pivotFmt>
        <c:idx val="93"/>
        <c:marker>
          <c:symbol val="none"/>
        </c:marker>
      </c:pivotFmt>
      <c:pivotFmt>
        <c:idx val="94"/>
        <c:marker>
          <c:symbol val="none"/>
        </c:marker>
      </c:pivotFmt>
      <c:pivotFmt>
        <c:idx val="95"/>
        <c:marker>
          <c:symbol val="none"/>
        </c:marker>
      </c:pivotFmt>
      <c:pivotFmt>
        <c:idx val="96"/>
        <c:marker>
          <c:symbol val="none"/>
        </c:marker>
      </c:pivotFmt>
      <c:pivotFmt>
        <c:idx val="97"/>
        <c:marker>
          <c:symbol val="none"/>
        </c:marker>
      </c:pivotFmt>
      <c:pivotFmt>
        <c:idx val="98"/>
        <c:marker>
          <c:symbol val="none"/>
        </c:marker>
      </c:pivotFmt>
      <c:pivotFmt>
        <c:idx val="99"/>
        <c:marker>
          <c:symbol val="none"/>
        </c:marker>
      </c:pivotFmt>
      <c:pivotFmt>
        <c:idx val="100"/>
        <c:marker>
          <c:symbol val="none"/>
        </c:marker>
      </c:pivotFmt>
      <c:pivotFmt>
        <c:idx val="101"/>
      </c:pivotFmt>
      <c:pivotFmt>
        <c:idx val="102"/>
        <c:marker>
          <c:symbol val="none"/>
        </c:marker>
      </c:pivotFmt>
      <c:pivotFmt>
        <c:idx val="103"/>
        <c:marker>
          <c:symbol val="none"/>
        </c:marker>
      </c:pivotFmt>
      <c:pivotFmt>
        <c:idx val="104"/>
        <c:marker>
          <c:symbol val="none"/>
        </c:marker>
      </c:pivotFmt>
      <c:pivotFmt>
        <c:idx val="105"/>
      </c:pivotFmt>
      <c:pivotFmt>
        <c:idx val="106"/>
      </c:pivotFmt>
      <c:pivotFmt>
        <c:idx val="107"/>
      </c:pivotFmt>
      <c:pivotFmt>
        <c:idx val="108"/>
      </c:pivotFmt>
      <c:pivotFmt>
        <c:idx val="109"/>
      </c:pivotFmt>
      <c:pivotFmt>
        <c:idx val="110"/>
      </c:pivotFmt>
      <c:pivotFmt>
        <c:idx val="111"/>
      </c:pivotFmt>
      <c:pivotFmt>
        <c:idx val="112"/>
      </c:pivotFmt>
      <c:pivotFmt>
        <c:idx val="113"/>
      </c:pivotFmt>
      <c:pivotFmt>
        <c:idx val="114"/>
      </c:pivotFmt>
      <c:pivotFmt>
        <c:idx val="115"/>
      </c:pivotFmt>
      <c:pivotFmt>
        <c:idx val="116"/>
      </c:pivotFmt>
      <c:pivotFmt>
        <c:idx val="117"/>
      </c:pivotFmt>
      <c:pivotFmt>
        <c:idx val="118"/>
      </c:pivotFmt>
      <c:pivotFmt>
        <c:idx val="119"/>
      </c:pivotFmt>
      <c:pivotFmt>
        <c:idx val="120"/>
      </c:pivotFmt>
      <c:pivotFmt>
        <c:idx val="121"/>
      </c:pivotFmt>
      <c:pivotFmt>
        <c:idx val="122"/>
      </c:pivotFmt>
      <c:pivotFmt>
        <c:idx val="123"/>
        <c:marker>
          <c:symbol val="none"/>
        </c:marker>
      </c:pivotFmt>
      <c:pivotFmt>
        <c:idx val="124"/>
        <c:marker>
          <c:symbol val="none"/>
        </c:marker>
      </c:pivotFmt>
      <c:pivotFmt>
        <c:idx val="125"/>
        <c:marker>
          <c:symbol val="none"/>
        </c:marker>
      </c:pivotFmt>
      <c:pivotFmt>
        <c:idx val="126"/>
        <c:marker>
          <c:symbol val="none"/>
        </c:marker>
      </c:pivotFmt>
      <c:pivotFmt>
        <c:idx val="127"/>
        <c:marker>
          <c:symbol val="none"/>
        </c:marker>
      </c:pivotFmt>
      <c:pivotFmt>
        <c:idx val="128"/>
        <c:marker>
          <c:symbol val="none"/>
        </c:marker>
      </c:pivotFmt>
      <c:pivotFmt>
        <c:idx val="129"/>
        <c:marker>
          <c:symbol val="none"/>
        </c:marker>
      </c:pivotFmt>
      <c:pivotFmt>
        <c:idx val="130"/>
        <c:marker>
          <c:symbol val="none"/>
        </c:marker>
      </c:pivotFmt>
      <c:pivotFmt>
        <c:idx val="131"/>
        <c:marker>
          <c:symbol val="none"/>
        </c:marker>
      </c:pivotFmt>
      <c:pivotFmt>
        <c:idx val="132"/>
        <c:marker>
          <c:symbol val="none"/>
        </c:marker>
      </c:pivotFmt>
      <c:pivotFmt>
        <c:idx val="133"/>
        <c:marker>
          <c:symbol val="none"/>
        </c:marker>
      </c:pivotFmt>
      <c:pivotFmt>
        <c:idx val="134"/>
        <c:marker>
          <c:symbol val="none"/>
        </c:marker>
      </c:pivotFmt>
      <c:pivotFmt>
        <c:idx val="135"/>
        <c:marker>
          <c:symbol val="none"/>
        </c:marker>
      </c:pivotFmt>
      <c:pivotFmt>
        <c:idx val="136"/>
        <c:marker>
          <c:symbol val="none"/>
        </c:marker>
      </c:pivotFmt>
      <c:pivotFmt>
        <c:idx val="137"/>
        <c:marker>
          <c:symbol val="none"/>
        </c:marker>
      </c:pivotFmt>
      <c:pivotFmt>
        <c:idx val="138"/>
        <c:marker>
          <c:symbol val="none"/>
        </c:marker>
      </c:pivotFmt>
      <c:pivotFmt>
        <c:idx val="139"/>
        <c:marker>
          <c:symbol val="none"/>
        </c:marker>
      </c:pivotFmt>
      <c:pivotFmt>
        <c:idx val="140"/>
        <c:marker>
          <c:symbol val="none"/>
        </c:marker>
      </c:pivotFmt>
      <c:pivotFmt>
        <c:idx val="141"/>
        <c:marker>
          <c:symbol val="none"/>
        </c:marker>
      </c:pivotFmt>
      <c:pivotFmt>
        <c:idx val="142"/>
        <c:marker>
          <c:symbol val="none"/>
        </c:marker>
      </c:pivotFmt>
      <c:pivotFmt>
        <c:idx val="143"/>
        <c:marker>
          <c:symbol val="none"/>
        </c:marker>
      </c:pivotFmt>
      <c:pivotFmt>
        <c:idx val="144"/>
        <c:marker>
          <c:symbol val="none"/>
        </c:marker>
      </c:pivotFmt>
      <c:pivotFmt>
        <c:idx val="145"/>
        <c:marker>
          <c:symbol val="none"/>
        </c:marker>
      </c:pivotFmt>
      <c:pivotFmt>
        <c:idx val="146"/>
        <c:marker>
          <c:symbol val="none"/>
        </c:marker>
      </c:pivotFmt>
      <c:pivotFmt>
        <c:idx val="147"/>
        <c:marker>
          <c:symbol val="none"/>
        </c:marker>
      </c:pivotFmt>
      <c:pivotFmt>
        <c:idx val="148"/>
        <c:marker>
          <c:symbol val="none"/>
        </c:marker>
      </c:pivotFmt>
      <c:pivotFmt>
        <c:idx val="149"/>
        <c:marker>
          <c:symbol val="none"/>
        </c:marker>
      </c:pivotFmt>
      <c:pivotFmt>
        <c:idx val="150"/>
        <c:marker>
          <c:symbol val="none"/>
        </c:marker>
      </c:pivotFmt>
      <c:pivotFmt>
        <c:idx val="151"/>
        <c:marker>
          <c:symbol val="none"/>
        </c:marker>
      </c:pivotFmt>
      <c:pivotFmt>
        <c:idx val="152"/>
        <c:marker>
          <c:symbol val="none"/>
        </c:marker>
      </c:pivotFmt>
      <c:pivotFmt>
        <c:idx val="153"/>
        <c:marker>
          <c:symbol val="none"/>
        </c:marker>
      </c:pivotFmt>
      <c:pivotFmt>
        <c:idx val="154"/>
        <c:marker>
          <c:symbol val="none"/>
        </c:marker>
      </c:pivotFmt>
      <c:pivotFmt>
        <c:idx val="155"/>
        <c:marker>
          <c:symbol val="none"/>
        </c:marker>
      </c:pivotFmt>
      <c:pivotFmt>
        <c:idx val="156"/>
        <c:marker>
          <c:symbol val="none"/>
        </c:marker>
      </c:pivotFmt>
      <c:pivotFmt>
        <c:idx val="157"/>
        <c:marker>
          <c:symbol val="none"/>
        </c:marker>
      </c:pivotFmt>
      <c:pivotFmt>
        <c:idx val="158"/>
        <c:marker>
          <c:symbol val="none"/>
        </c:marker>
      </c:pivotFmt>
      <c:pivotFmt>
        <c:idx val="159"/>
        <c:marker>
          <c:symbol val="none"/>
        </c:marker>
      </c:pivotFmt>
      <c:pivotFmt>
        <c:idx val="160"/>
        <c:marker>
          <c:symbol val="none"/>
        </c:marker>
      </c:pivotFmt>
      <c:pivotFmt>
        <c:idx val="161"/>
        <c:marker>
          <c:symbol val="none"/>
        </c:marker>
      </c:pivotFmt>
      <c:pivotFmt>
        <c:idx val="162"/>
        <c:marker>
          <c:symbol val="none"/>
        </c:marker>
      </c:pivotFmt>
      <c:pivotFmt>
        <c:idx val="163"/>
        <c:marker>
          <c:symbol val="none"/>
        </c:marker>
      </c:pivotFmt>
      <c:pivotFmt>
        <c:idx val="164"/>
        <c:marker>
          <c:symbol val="none"/>
        </c:marker>
      </c:pivotFmt>
      <c:pivotFmt>
        <c:idx val="165"/>
        <c:marker>
          <c:symbol val="none"/>
        </c:marker>
      </c:pivotFmt>
      <c:pivotFmt>
        <c:idx val="166"/>
        <c:marker>
          <c:symbol val="none"/>
        </c:marker>
      </c:pivotFmt>
      <c:pivotFmt>
        <c:idx val="167"/>
        <c:marker>
          <c:symbol val="none"/>
        </c:marker>
      </c:pivotFmt>
      <c:pivotFmt>
        <c:idx val="168"/>
        <c:marker>
          <c:symbol val="none"/>
        </c:marker>
      </c:pivotFmt>
      <c:pivotFmt>
        <c:idx val="169"/>
        <c:marker>
          <c:symbol val="none"/>
        </c:marker>
      </c:pivotFmt>
      <c:pivotFmt>
        <c:idx val="170"/>
        <c:marker>
          <c:symbol val="none"/>
        </c:marker>
      </c:pivotFmt>
      <c:pivotFmt>
        <c:idx val="171"/>
        <c:marker>
          <c:symbol val="none"/>
        </c:marker>
      </c:pivotFmt>
      <c:pivotFmt>
        <c:idx val="172"/>
        <c:marker>
          <c:symbol val="none"/>
        </c:marker>
      </c:pivotFmt>
      <c:pivotFmt>
        <c:idx val="173"/>
        <c:marker>
          <c:symbol val="none"/>
        </c:marker>
      </c:pivotFmt>
      <c:pivotFmt>
        <c:idx val="174"/>
        <c:marker>
          <c:symbol val="none"/>
        </c:marker>
      </c:pivotFmt>
      <c:pivotFmt>
        <c:idx val="175"/>
        <c:marker>
          <c:symbol val="none"/>
        </c:marker>
      </c:pivotFmt>
      <c:pivotFmt>
        <c:idx val="176"/>
        <c:marker>
          <c:symbol val="none"/>
        </c:marker>
      </c:pivotFmt>
      <c:pivotFmt>
        <c:idx val="177"/>
        <c:marker>
          <c:symbol val="none"/>
        </c:marker>
      </c:pivotFmt>
      <c:pivotFmt>
        <c:idx val="178"/>
        <c:marker>
          <c:symbol val="none"/>
        </c:marker>
      </c:pivotFmt>
      <c:pivotFmt>
        <c:idx val="179"/>
        <c:marker>
          <c:symbol val="none"/>
        </c:marker>
      </c:pivotFmt>
      <c:pivotFmt>
        <c:idx val="180"/>
        <c:marker>
          <c:symbol val="none"/>
        </c:marker>
      </c:pivotFmt>
      <c:pivotFmt>
        <c:idx val="181"/>
        <c:marker>
          <c:symbol val="none"/>
        </c:marker>
      </c:pivotFmt>
      <c:pivotFmt>
        <c:idx val="182"/>
        <c:marker>
          <c:symbol val="none"/>
        </c:marker>
      </c:pivotFmt>
      <c:pivotFmt>
        <c:idx val="183"/>
        <c:marker>
          <c:symbol val="none"/>
        </c:marker>
      </c:pivotFmt>
      <c:pivotFmt>
        <c:idx val="184"/>
        <c:marker>
          <c:symbol val="none"/>
        </c:marker>
      </c:pivotFmt>
      <c:pivotFmt>
        <c:idx val="185"/>
        <c:marker>
          <c:symbol val="none"/>
        </c:marker>
      </c:pivotFmt>
      <c:pivotFmt>
        <c:idx val="186"/>
        <c:marker>
          <c:symbol val="none"/>
        </c:marker>
      </c:pivotFmt>
      <c:pivotFmt>
        <c:idx val="187"/>
        <c:marker>
          <c:symbol val="none"/>
        </c:marker>
      </c:pivotFmt>
      <c:pivotFmt>
        <c:idx val="188"/>
        <c:marker>
          <c:symbol val="none"/>
        </c:marker>
      </c:pivotFmt>
      <c:pivotFmt>
        <c:idx val="189"/>
        <c:marker>
          <c:symbol val="none"/>
        </c:marker>
      </c:pivotFmt>
      <c:pivotFmt>
        <c:idx val="190"/>
        <c:marker>
          <c:symbol val="none"/>
        </c:marker>
      </c:pivotFmt>
      <c:pivotFmt>
        <c:idx val="191"/>
        <c:marker>
          <c:symbol val="none"/>
        </c:marker>
      </c:pivotFmt>
      <c:pivotFmt>
        <c:idx val="192"/>
        <c:marker>
          <c:symbol val="none"/>
        </c:marker>
      </c:pivotFmt>
      <c:pivotFmt>
        <c:idx val="193"/>
        <c:marker>
          <c:symbol val="none"/>
        </c:marker>
      </c:pivotFmt>
      <c:pivotFmt>
        <c:idx val="194"/>
        <c:marker>
          <c:symbol val="none"/>
        </c:marker>
      </c:pivotFmt>
      <c:pivotFmt>
        <c:idx val="195"/>
        <c:marker>
          <c:symbol val="none"/>
        </c:marker>
      </c:pivotFmt>
      <c:pivotFmt>
        <c:idx val="196"/>
        <c:marker>
          <c:symbol val="none"/>
        </c:marker>
      </c:pivotFmt>
      <c:pivotFmt>
        <c:idx val="197"/>
        <c:marker>
          <c:symbol val="none"/>
        </c:marker>
      </c:pivotFmt>
      <c:pivotFmt>
        <c:idx val="198"/>
        <c:marker>
          <c:symbol val="none"/>
        </c:marker>
      </c:pivotFmt>
      <c:pivotFmt>
        <c:idx val="199"/>
        <c:marker>
          <c:symbol val="none"/>
        </c:marker>
      </c:pivotFmt>
      <c:pivotFmt>
        <c:idx val="200"/>
        <c:marker>
          <c:symbol val="none"/>
        </c:marker>
      </c:pivotFmt>
      <c:pivotFmt>
        <c:idx val="201"/>
        <c:marker>
          <c:symbol val="none"/>
        </c:marker>
      </c:pivotFmt>
      <c:pivotFmt>
        <c:idx val="202"/>
        <c:marker>
          <c:symbol val="none"/>
        </c:marker>
      </c:pivotFmt>
      <c:pivotFmt>
        <c:idx val="203"/>
        <c:marker>
          <c:symbol val="none"/>
        </c:marker>
      </c:pivotFmt>
      <c:pivotFmt>
        <c:idx val="204"/>
        <c:marker>
          <c:symbol val="none"/>
        </c:marker>
      </c:pivotFmt>
      <c:pivotFmt>
        <c:idx val="205"/>
        <c:marker>
          <c:symbol val="none"/>
        </c:marker>
      </c:pivotFmt>
      <c:pivotFmt>
        <c:idx val="206"/>
        <c:marker>
          <c:symbol val="none"/>
        </c:marker>
      </c:pivotFmt>
      <c:pivotFmt>
        <c:idx val="207"/>
        <c:marker>
          <c:symbol val="none"/>
        </c:marker>
      </c:pivotFmt>
      <c:pivotFmt>
        <c:idx val="208"/>
        <c:marker>
          <c:symbol val="none"/>
        </c:marker>
      </c:pivotFmt>
      <c:pivotFmt>
        <c:idx val="209"/>
        <c:marker>
          <c:symbol val="none"/>
        </c:marker>
      </c:pivotFmt>
      <c:pivotFmt>
        <c:idx val="210"/>
        <c:marker>
          <c:symbol val="none"/>
        </c:marker>
      </c:pivotFmt>
      <c:pivotFmt>
        <c:idx val="211"/>
        <c:marker>
          <c:symbol val="none"/>
        </c:marker>
      </c:pivotFmt>
      <c:pivotFmt>
        <c:idx val="212"/>
        <c:marker>
          <c:symbol val="none"/>
        </c:marker>
      </c:pivotFmt>
      <c:pivotFmt>
        <c:idx val="213"/>
        <c:marker>
          <c:symbol val="none"/>
        </c:marker>
      </c:pivotFmt>
      <c:pivotFmt>
        <c:idx val="214"/>
        <c:marker>
          <c:symbol val="none"/>
        </c:marker>
      </c:pivotFmt>
      <c:pivotFmt>
        <c:idx val="215"/>
        <c:marker>
          <c:symbol val="none"/>
        </c:marker>
      </c:pivotFmt>
      <c:pivotFmt>
        <c:idx val="216"/>
        <c:marker>
          <c:symbol val="none"/>
        </c:marker>
      </c:pivotFmt>
      <c:pivotFmt>
        <c:idx val="217"/>
        <c:marker>
          <c:symbol val="none"/>
        </c:marker>
      </c:pivotFmt>
      <c:pivotFmt>
        <c:idx val="218"/>
        <c:marker>
          <c:symbol val="none"/>
        </c:marker>
      </c:pivotFmt>
      <c:pivotFmt>
        <c:idx val="219"/>
        <c:marker>
          <c:symbol val="none"/>
        </c:marker>
      </c:pivotFmt>
      <c:pivotFmt>
        <c:idx val="220"/>
        <c:marker>
          <c:symbol val="none"/>
        </c:marker>
      </c:pivotFmt>
      <c:pivotFmt>
        <c:idx val="221"/>
        <c:marker>
          <c:symbol val="none"/>
        </c:marker>
      </c:pivotFmt>
      <c:pivotFmt>
        <c:idx val="222"/>
        <c:marker>
          <c:symbol val="none"/>
        </c:marker>
      </c:pivotFmt>
      <c:pivotFmt>
        <c:idx val="223"/>
        <c:marker>
          <c:symbol val="none"/>
        </c:marker>
      </c:pivotFmt>
      <c:pivotFmt>
        <c:idx val="224"/>
        <c:marker>
          <c:symbol val="none"/>
        </c:marker>
      </c:pivotFmt>
      <c:pivotFmt>
        <c:idx val="225"/>
        <c:marker>
          <c:symbol val="none"/>
        </c:marker>
      </c:pivotFmt>
      <c:pivotFmt>
        <c:idx val="226"/>
        <c:marker>
          <c:symbol val="none"/>
        </c:marker>
      </c:pivotFmt>
      <c:pivotFmt>
        <c:idx val="227"/>
        <c:marker>
          <c:symbol val="none"/>
        </c:marker>
      </c:pivotFmt>
      <c:pivotFmt>
        <c:idx val="228"/>
        <c:marker>
          <c:symbol val="none"/>
        </c:marker>
      </c:pivotFmt>
      <c:pivotFmt>
        <c:idx val="229"/>
        <c:marker>
          <c:symbol val="none"/>
        </c:marker>
      </c:pivotFmt>
      <c:pivotFmt>
        <c:idx val="230"/>
        <c:marker>
          <c:symbol val="none"/>
        </c:marker>
      </c:pivotFmt>
      <c:pivotFmt>
        <c:idx val="231"/>
        <c:marker>
          <c:symbol val="none"/>
        </c:marker>
      </c:pivotFmt>
      <c:pivotFmt>
        <c:idx val="232"/>
        <c:marker>
          <c:symbol val="none"/>
        </c:marker>
      </c:pivotFmt>
      <c:pivotFmt>
        <c:idx val="233"/>
        <c:marker>
          <c:symbol val="none"/>
        </c:marker>
      </c:pivotFmt>
      <c:pivotFmt>
        <c:idx val="234"/>
        <c:marker>
          <c:symbol val="none"/>
        </c:marker>
      </c:pivotFmt>
      <c:pivotFmt>
        <c:idx val="235"/>
        <c:marker>
          <c:symbol val="none"/>
        </c:marker>
      </c:pivotFmt>
      <c:pivotFmt>
        <c:idx val="236"/>
        <c:marker>
          <c:symbol val="none"/>
        </c:marker>
      </c:pivotFmt>
      <c:pivotFmt>
        <c:idx val="237"/>
        <c:marker>
          <c:symbol val="none"/>
        </c:marker>
      </c:pivotFmt>
      <c:pivotFmt>
        <c:idx val="238"/>
        <c:marker>
          <c:symbol val="none"/>
        </c:marker>
      </c:pivotFmt>
      <c:pivotFmt>
        <c:idx val="239"/>
        <c:marker>
          <c:symbol val="none"/>
        </c:marker>
      </c:pivotFmt>
      <c:pivotFmt>
        <c:idx val="240"/>
        <c:marker>
          <c:symbol val="none"/>
        </c:marker>
      </c:pivotFmt>
      <c:pivotFmt>
        <c:idx val="241"/>
        <c:marker>
          <c:symbol val="none"/>
        </c:marker>
      </c:pivotFmt>
      <c:pivotFmt>
        <c:idx val="242"/>
        <c:marker>
          <c:symbol val="none"/>
        </c:marker>
      </c:pivotFmt>
      <c:pivotFmt>
        <c:idx val="243"/>
        <c:marker>
          <c:symbol val="none"/>
        </c:marker>
      </c:pivotFmt>
      <c:pivotFmt>
        <c:idx val="244"/>
        <c:marker>
          <c:symbol val="none"/>
        </c:marker>
      </c:pivotFmt>
      <c:pivotFmt>
        <c:idx val="245"/>
        <c:marker>
          <c:symbol val="none"/>
        </c:marker>
      </c:pivotFmt>
      <c:pivotFmt>
        <c:idx val="246"/>
        <c:marker>
          <c:symbol val="none"/>
        </c:marker>
      </c:pivotFmt>
      <c:pivotFmt>
        <c:idx val="247"/>
        <c:marker>
          <c:symbol val="none"/>
        </c:marker>
      </c:pivotFmt>
      <c:pivotFmt>
        <c:idx val="248"/>
        <c:marker>
          <c:symbol val="none"/>
        </c:marker>
      </c:pivotFmt>
      <c:pivotFmt>
        <c:idx val="249"/>
        <c:marker>
          <c:symbol val="none"/>
        </c:marker>
      </c:pivotFmt>
      <c:pivotFmt>
        <c:idx val="250"/>
        <c:marker>
          <c:symbol val="none"/>
        </c:marker>
      </c:pivotFmt>
      <c:pivotFmt>
        <c:idx val="251"/>
        <c:marker>
          <c:symbol val="none"/>
        </c:marker>
      </c:pivotFmt>
      <c:pivotFmt>
        <c:idx val="252"/>
        <c:marker>
          <c:symbol val="none"/>
        </c:marker>
      </c:pivotFmt>
      <c:pivotFmt>
        <c:idx val="253"/>
        <c:marker>
          <c:symbol val="none"/>
        </c:marker>
      </c:pivotFmt>
      <c:pivotFmt>
        <c:idx val="254"/>
        <c:marker>
          <c:symbol val="none"/>
        </c:marker>
      </c:pivotFmt>
      <c:pivotFmt>
        <c:idx val="255"/>
        <c:marker>
          <c:symbol val="none"/>
        </c:marker>
      </c:pivotFmt>
      <c:pivotFmt>
        <c:idx val="256"/>
        <c:marker>
          <c:symbol val="none"/>
        </c:marker>
      </c:pivotFmt>
      <c:pivotFmt>
        <c:idx val="257"/>
        <c:marker>
          <c:symbol val="none"/>
        </c:marker>
      </c:pivotFmt>
      <c:pivotFmt>
        <c:idx val="258"/>
        <c:marker>
          <c:symbol val="none"/>
        </c:marker>
      </c:pivotFmt>
      <c:pivotFmt>
        <c:idx val="259"/>
        <c:marker>
          <c:symbol val="none"/>
        </c:marker>
      </c:pivotFmt>
      <c:pivotFmt>
        <c:idx val="260"/>
        <c:marker>
          <c:symbol val="none"/>
        </c:marker>
      </c:pivotFmt>
      <c:pivotFmt>
        <c:idx val="261"/>
        <c:marker>
          <c:symbol val="none"/>
        </c:marker>
      </c:pivotFmt>
      <c:pivotFmt>
        <c:idx val="262"/>
        <c:marker>
          <c:symbol val="none"/>
        </c:marker>
      </c:pivotFmt>
      <c:pivotFmt>
        <c:idx val="263"/>
        <c:marker>
          <c:symbol val="none"/>
        </c:marker>
      </c:pivotFmt>
      <c:pivotFmt>
        <c:idx val="264"/>
        <c:marker>
          <c:symbol val="none"/>
        </c:marker>
      </c:pivotFmt>
      <c:pivotFmt>
        <c:idx val="265"/>
        <c:marker>
          <c:symbol val="none"/>
        </c:marker>
      </c:pivotFmt>
      <c:pivotFmt>
        <c:idx val="266"/>
        <c:marker>
          <c:symbol val="none"/>
        </c:marker>
      </c:pivotFmt>
      <c:pivotFmt>
        <c:idx val="267"/>
        <c:marker>
          <c:symbol val="none"/>
        </c:marker>
      </c:pivotFmt>
      <c:pivotFmt>
        <c:idx val="268"/>
        <c:marker>
          <c:symbol val="none"/>
        </c:marker>
      </c:pivotFmt>
      <c:pivotFmt>
        <c:idx val="269"/>
        <c:marker>
          <c:symbol val="none"/>
        </c:marker>
      </c:pivotFmt>
      <c:pivotFmt>
        <c:idx val="270"/>
        <c:marker>
          <c:symbol val="none"/>
        </c:marker>
      </c:pivotFmt>
      <c:pivotFmt>
        <c:idx val="271"/>
        <c:marker>
          <c:symbol val="none"/>
        </c:marker>
      </c:pivotFmt>
      <c:pivotFmt>
        <c:idx val="272"/>
        <c:marker>
          <c:symbol val="none"/>
        </c:marker>
      </c:pivotFmt>
      <c:pivotFmt>
        <c:idx val="273"/>
        <c:marker>
          <c:symbol val="none"/>
        </c:marker>
      </c:pivotFmt>
      <c:pivotFmt>
        <c:idx val="274"/>
        <c:marker>
          <c:symbol val="none"/>
        </c:marker>
      </c:pivotFmt>
      <c:pivotFmt>
        <c:idx val="275"/>
        <c:marker>
          <c:symbol val="none"/>
        </c:marker>
      </c:pivotFmt>
      <c:pivotFmt>
        <c:idx val="276"/>
        <c:marker>
          <c:symbol val="none"/>
        </c:marker>
      </c:pivotFmt>
      <c:pivotFmt>
        <c:idx val="277"/>
        <c:marker>
          <c:symbol val="none"/>
        </c:marker>
      </c:pivotFmt>
      <c:pivotFmt>
        <c:idx val="278"/>
        <c:marker>
          <c:symbol val="none"/>
        </c:marker>
      </c:pivotFmt>
      <c:pivotFmt>
        <c:idx val="279"/>
        <c:marker>
          <c:symbol val="none"/>
        </c:marker>
      </c:pivotFmt>
      <c:pivotFmt>
        <c:idx val="280"/>
        <c:marker>
          <c:symbol val="none"/>
        </c:marker>
      </c:pivotFmt>
      <c:pivotFmt>
        <c:idx val="281"/>
        <c:marker>
          <c:symbol val="none"/>
        </c:marker>
      </c:pivotFmt>
      <c:pivotFmt>
        <c:idx val="282"/>
        <c:marker>
          <c:symbol val="none"/>
        </c:marker>
      </c:pivotFmt>
      <c:pivotFmt>
        <c:idx val="283"/>
        <c:marker>
          <c:symbol val="none"/>
        </c:marker>
      </c:pivotFmt>
      <c:pivotFmt>
        <c:idx val="284"/>
        <c:marker>
          <c:symbol val="none"/>
        </c:marker>
      </c:pivotFmt>
      <c:pivotFmt>
        <c:idx val="285"/>
        <c:marker>
          <c:symbol val="none"/>
        </c:marker>
      </c:pivotFmt>
      <c:pivotFmt>
        <c:idx val="286"/>
        <c:marker>
          <c:symbol val="none"/>
        </c:marker>
      </c:pivotFmt>
      <c:pivotFmt>
        <c:idx val="287"/>
        <c:marker>
          <c:symbol val="none"/>
        </c:marker>
      </c:pivotFmt>
      <c:pivotFmt>
        <c:idx val="288"/>
        <c:marker>
          <c:symbol val="none"/>
        </c:marker>
      </c:pivotFmt>
      <c:pivotFmt>
        <c:idx val="289"/>
        <c:marker>
          <c:symbol val="none"/>
        </c:marker>
      </c:pivotFmt>
      <c:pivotFmt>
        <c:idx val="290"/>
        <c:marker>
          <c:symbol val="none"/>
        </c:marker>
      </c:pivotFmt>
      <c:pivotFmt>
        <c:idx val="291"/>
        <c:marker>
          <c:symbol val="none"/>
        </c:marker>
      </c:pivotFmt>
      <c:pivotFmt>
        <c:idx val="292"/>
        <c:marker>
          <c:symbol val="none"/>
        </c:marker>
      </c:pivotFmt>
      <c:pivotFmt>
        <c:idx val="293"/>
        <c:marker>
          <c:symbol val="none"/>
        </c:marker>
      </c:pivotFmt>
      <c:pivotFmt>
        <c:idx val="294"/>
        <c:marker>
          <c:symbol val="none"/>
        </c:marker>
      </c:pivotFmt>
      <c:pivotFmt>
        <c:idx val="295"/>
        <c:marker>
          <c:symbol val="none"/>
        </c:marker>
      </c:pivotFmt>
      <c:pivotFmt>
        <c:idx val="296"/>
        <c:marker>
          <c:symbol val="none"/>
        </c:marker>
      </c:pivotFmt>
      <c:pivotFmt>
        <c:idx val="297"/>
        <c:marker>
          <c:symbol val="none"/>
        </c:marker>
      </c:pivotFmt>
      <c:pivotFmt>
        <c:idx val="298"/>
        <c:marker>
          <c:symbol val="none"/>
        </c:marker>
      </c:pivotFmt>
      <c:pivotFmt>
        <c:idx val="299"/>
        <c:marker>
          <c:symbol val="none"/>
        </c:marker>
      </c:pivotFmt>
      <c:pivotFmt>
        <c:idx val="300"/>
        <c:marker>
          <c:symbol val="none"/>
        </c:marker>
      </c:pivotFmt>
      <c:pivotFmt>
        <c:idx val="301"/>
        <c:marker>
          <c:symbol val="none"/>
        </c:marker>
      </c:pivotFmt>
      <c:pivotFmt>
        <c:idx val="302"/>
        <c:marker>
          <c:symbol val="none"/>
        </c:marker>
      </c:pivotFmt>
      <c:pivotFmt>
        <c:idx val="303"/>
        <c:marker>
          <c:symbol val="none"/>
        </c:marker>
      </c:pivotFmt>
      <c:pivotFmt>
        <c:idx val="304"/>
        <c:marker>
          <c:symbol val="none"/>
        </c:marker>
      </c:pivotFmt>
      <c:pivotFmt>
        <c:idx val="305"/>
        <c:marker>
          <c:symbol val="none"/>
        </c:marker>
      </c:pivotFmt>
      <c:pivotFmt>
        <c:idx val="306"/>
        <c:marker>
          <c:symbol val="none"/>
        </c:marker>
      </c:pivotFmt>
      <c:pivotFmt>
        <c:idx val="307"/>
        <c:marker>
          <c:symbol val="none"/>
        </c:marker>
      </c:pivotFmt>
      <c:pivotFmt>
        <c:idx val="308"/>
        <c:marker>
          <c:symbol val="none"/>
        </c:marker>
      </c:pivotFmt>
      <c:pivotFmt>
        <c:idx val="309"/>
        <c:marker>
          <c:symbol val="none"/>
        </c:marker>
      </c:pivotFmt>
      <c:pivotFmt>
        <c:idx val="310"/>
        <c:marker>
          <c:symbol val="none"/>
        </c:marker>
      </c:pivotFmt>
      <c:pivotFmt>
        <c:idx val="311"/>
        <c:marker>
          <c:symbol val="none"/>
        </c:marker>
      </c:pivotFmt>
      <c:pivotFmt>
        <c:idx val="312"/>
        <c:marker>
          <c:symbol val="none"/>
        </c:marker>
      </c:pivotFmt>
      <c:pivotFmt>
        <c:idx val="313"/>
        <c:marker>
          <c:symbol val="none"/>
        </c:marker>
      </c:pivotFmt>
      <c:pivotFmt>
        <c:idx val="314"/>
        <c:marker>
          <c:symbol val="none"/>
        </c:marker>
      </c:pivotFmt>
      <c:pivotFmt>
        <c:idx val="315"/>
        <c:marker>
          <c:symbol val="none"/>
        </c:marker>
      </c:pivotFmt>
      <c:pivotFmt>
        <c:idx val="316"/>
        <c:marker>
          <c:symbol val="none"/>
        </c:marker>
      </c:pivotFmt>
      <c:pivotFmt>
        <c:idx val="317"/>
        <c:marker>
          <c:symbol val="none"/>
        </c:marker>
      </c:pivotFmt>
      <c:pivotFmt>
        <c:idx val="318"/>
        <c:marker>
          <c:symbol val="none"/>
        </c:marker>
      </c:pivotFmt>
      <c:pivotFmt>
        <c:idx val="319"/>
        <c:marker>
          <c:symbol val="none"/>
        </c:marker>
      </c:pivotFmt>
      <c:pivotFmt>
        <c:idx val="320"/>
        <c:marker>
          <c:symbol val="none"/>
        </c:marker>
      </c:pivotFmt>
      <c:pivotFmt>
        <c:idx val="321"/>
        <c:marker>
          <c:symbol val="none"/>
        </c:marker>
      </c:pivotFmt>
      <c:pivotFmt>
        <c:idx val="322"/>
        <c:marker>
          <c:symbol val="none"/>
        </c:marker>
      </c:pivotFmt>
      <c:pivotFmt>
        <c:idx val="323"/>
        <c:marker>
          <c:symbol val="none"/>
        </c:marker>
      </c:pivotFmt>
      <c:pivotFmt>
        <c:idx val="324"/>
        <c:marker>
          <c:symbol val="none"/>
        </c:marker>
      </c:pivotFmt>
      <c:pivotFmt>
        <c:idx val="325"/>
        <c:marker>
          <c:symbol val="none"/>
        </c:marker>
      </c:pivotFmt>
      <c:pivotFmt>
        <c:idx val="326"/>
        <c:marker>
          <c:symbol val="none"/>
        </c:marker>
      </c:pivotFmt>
      <c:pivotFmt>
        <c:idx val="327"/>
        <c:marker>
          <c:symbol val="none"/>
        </c:marker>
      </c:pivotFmt>
      <c:pivotFmt>
        <c:idx val="328"/>
        <c:marker>
          <c:symbol val="none"/>
        </c:marker>
      </c:pivotFmt>
      <c:pivotFmt>
        <c:idx val="329"/>
        <c:marker>
          <c:symbol val="none"/>
        </c:marker>
      </c:pivotFmt>
      <c:pivotFmt>
        <c:idx val="330"/>
        <c:marker>
          <c:symbol val="none"/>
        </c:marker>
      </c:pivotFmt>
      <c:pivotFmt>
        <c:idx val="331"/>
        <c:marker>
          <c:symbol val="none"/>
        </c:marker>
      </c:pivotFmt>
      <c:pivotFmt>
        <c:idx val="332"/>
        <c:marker>
          <c:symbol val="none"/>
        </c:marker>
      </c:pivotFmt>
      <c:pivotFmt>
        <c:idx val="333"/>
        <c:marker>
          <c:symbol val="none"/>
        </c:marker>
      </c:pivotFmt>
      <c:pivotFmt>
        <c:idx val="334"/>
        <c:marker>
          <c:symbol val="none"/>
        </c:marker>
      </c:pivotFmt>
      <c:pivotFmt>
        <c:idx val="335"/>
        <c:marker>
          <c:symbol val="none"/>
        </c:marker>
      </c:pivotFmt>
      <c:pivotFmt>
        <c:idx val="336"/>
        <c:marker>
          <c:symbol val="none"/>
        </c:marker>
      </c:pivotFmt>
      <c:pivotFmt>
        <c:idx val="337"/>
        <c:marker>
          <c:symbol val="none"/>
        </c:marker>
      </c:pivotFmt>
      <c:pivotFmt>
        <c:idx val="338"/>
        <c:marker>
          <c:symbol val="none"/>
        </c:marker>
      </c:pivotFmt>
      <c:pivotFmt>
        <c:idx val="339"/>
        <c:marker>
          <c:symbol val="none"/>
        </c:marker>
      </c:pivotFmt>
      <c:pivotFmt>
        <c:idx val="340"/>
        <c:marker>
          <c:symbol val="none"/>
        </c:marker>
      </c:pivotFmt>
      <c:pivotFmt>
        <c:idx val="341"/>
        <c:marker>
          <c:symbol val="none"/>
        </c:marker>
      </c:pivotFmt>
      <c:pivotFmt>
        <c:idx val="342"/>
        <c:marker>
          <c:symbol val="none"/>
        </c:marker>
      </c:pivotFmt>
      <c:pivotFmt>
        <c:idx val="343"/>
        <c:marker>
          <c:symbol val="none"/>
        </c:marker>
      </c:pivotFmt>
      <c:pivotFmt>
        <c:idx val="344"/>
        <c:marker>
          <c:symbol val="none"/>
        </c:marker>
      </c:pivotFmt>
      <c:pivotFmt>
        <c:idx val="345"/>
        <c:marker>
          <c:symbol val="none"/>
        </c:marker>
      </c:pivotFmt>
      <c:pivotFmt>
        <c:idx val="346"/>
        <c:marker>
          <c:symbol val="none"/>
        </c:marker>
      </c:pivotFmt>
      <c:pivotFmt>
        <c:idx val="347"/>
        <c:marker>
          <c:symbol val="none"/>
        </c:marker>
      </c:pivotFmt>
      <c:pivotFmt>
        <c:idx val="348"/>
        <c:marker>
          <c:symbol val="none"/>
        </c:marker>
      </c:pivotFmt>
      <c:pivotFmt>
        <c:idx val="349"/>
        <c:marker>
          <c:symbol val="none"/>
        </c:marker>
      </c:pivotFmt>
      <c:pivotFmt>
        <c:idx val="350"/>
        <c:marker>
          <c:symbol val="none"/>
        </c:marker>
      </c:pivotFmt>
      <c:pivotFmt>
        <c:idx val="351"/>
        <c:marker>
          <c:symbol val="none"/>
        </c:marker>
      </c:pivotFmt>
      <c:pivotFmt>
        <c:idx val="352"/>
        <c:marker>
          <c:symbol val="none"/>
        </c:marker>
      </c:pivotFmt>
      <c:pivotFmt>
        <c:idx val="353"/>
        <c:marker>
          <c:symbol val="none"/>
        </c:marker>
      </c:pivotFmt>
      <c:pivotFmt>
        <c:idx val="354"/>
        <c:marker>
          <c:symbol val="none"/>
        </c:marker>
      </c:pivotFmt>
      <c:pivotFmt>
        <c:idx val="355"/>
        <c:marker>
          <c:symbol val="none"/>
        </c:marker>
      </c:pivotFmt>
      <c:pivotFmt>
        <c:idx val="356"/>
        <c:marker>
          <c:symbol val="none"/>
        </c:marker>
      </c:pivotFmt>
      <c:pivotFmt>
        <c:idx val="357"/>
        <c:marker>
          <c:symbol val="none"/>
        </c:marker>
      </c:pivotFmt>
      <c:pivotFmt>
        <c:idx val="358"/>
        <c:marker>
          <c:symbol val="none"/>
        </c:marker>
      </c:pivotFmt>
      <c:pivotFmt>
        <c:idx val="359"/>
        <c:marker>
          <c:symbol val="none"/>
        </c:marker>
      </c:pivotFmt>
      <c:pivotFmt>
        <c:idx val="360"/>
        <c:marker>
          <c:symbol val="none"/>
        </c:marker>
      </c:pivotFmt>
      <c:pivotFmt>
        <c:idx val="361"/>
        <c:marker>
          <c:symbol val="none"/>
        </c:marker>
      </c:pivotFmt>
      <c:pivotFmt>
        <c:idx val="362"/>
        <c:marker>
          <c:symbol val="none"/>
        </c:marker>
      </c:pivotFmt>
      <c:pivotFmt>
        <c:idx val="363"/>
        <c:marker>
          <c:symbol val="none"/>
        </c:marker>
      </c:pivotFmt>
      <c:pivotFmt>
        <c:idx val="364"/>
        <c:marker>
          <c:symbol val="none"/>
        </c:marker>
      </c:pivotFmt>
      <c:pivotFmt>
        <c:idx val="365"/>
        <c:marker>
          <c:symbol val="none"/>
        </c:marker>
      </c:pivotFmt>
      <c:pivotFmt>
        <c:idx val="366"/>
        <c:marker>
          <c:symbol val="none"/>
        </c:marker>
      </c:pivotFmt>
      <c:pivotFmt>
        <c:idx val="367"/>
        <c:marker>
          <c:symbol val="none"/>
        </c:marker>
      </c:pivotFmt>
      <c:pivotFmt>
        <c:idx val="368"/>
        <c:marker>
          <c:symbol val="none"/>
        </c:marker>
      </c:pivotFmt>
      <c:pivotFmt>
        <c:idx val="369"/>
        <c:marker>
          <c:symbol val="none"/>
        </c:marker>
      </c:pivotFmt>
      <c:pivotFmt>
        <c:idx val="370"/>
        <c:marker>
          <c:symbol val="none"/>
        </c:marker>
      </c:pivotFmt>
      <c:pivotFmt>
        <c:idx val="371"/>
        <c:marker>
          <c:symbol val="none"/>
        </c:marker>
      </c:pivotFmt>
      <c:pivotFmt>
        <c:idx val="372"/>
        <c:marker>
          <c:symbol val="none"/>
        </c:marker>
      </c:pivotFmt>
      <c:pivotFmt>
        <c:idx val="373"/>
        <c:marker>
          <c:symbol val="none"/>
        </c:marker>
      </c:pivotFmt>
      <c:pivotFmt>
        <c:idx val="374"/>
        <c:marker>
          <c:symbol val="none"/>
        </c:marker>
      </c:pivotFmt>
      <c:pivotFmt>
        <c:idx val="375"/>
        <c:marker>
          <c:symbol val="none"/>
        </c:marker>
      </c:pivotFmt>
      <c:pivotFmt>
        <c:idx val="376"/>
        <c:marker>
          <c:symbol val="none"/>
        </c:marker>
      </c:pivotFmt>
      <c:pivotFmt>
        <c:idx val="377"/>
        <c:marker>
          <c:symbol val="none"/>
        </c:marker>
      </c:pivotFmt>
      <c:pivotFmt>
        <c:idx val="378"/>
        <c:marker>
          <c:symbol val="none"/>
        </c:marker>
      </c:pivotFmt>
      <c:pivotFmt>
        <c:idx val="379"/>
        <c:marker>
          <c:symbol val="none"/>
        </c:marker>
      </c:pivotFmt>
      <c:pivotFmt>
        <c:idx val="380"/>
        <c:marker>
          <c:symbol val="none"/>
        </c:marker>
      </c:pivotFmt>
      <c:pivotFmt>
        <c:idx val="381"/>
        <c:marker>
          <c:symbol val="none"/>
        </c:marker>
      </c:pivotFmt>
      <c:pivotFmt>
        <c:idx val="382"/>
        <c:marker>
          <c:symbol val="none"/>
        </c:marker>
      </c:pivotFmt>
      <c:pivotFmt>
        <c:idx val="383"/>
        <c:marker>
          <c:symbol val="none"/>
        </c:marker>
      </c:pivotFmt>
      <c:pivotFmt>
        <c:idx val="384"/>
        <c:marker>
          <c:symbol val="none"/>
        </c:marker>
      </c:pivotFmt>
      <c:pivotFmt>
        <c:idx val="385"/>
        <c:marker>
          <c:symbol val="none"/>
        </c:marker>
      </c:pivotFmt>
      <c:pivotFmt>
        <c:idx val="386"/>
        <c:marker>
          <c:symbol val="none"/>
        </c:marker>
      </c:pivotFmt>
      <c:pivotFmt>
        <c:idx val="387"/>
        <c:marker>
          <c:symbol val="none"/>
        </c:marker>
      </c:pivotFmt>
      <c:pivotFmt>
        <c:idx val="388"/>
        <c:marker>
          <c:symbol val="none"/>
        </c:marker>
      </c:pivotFmt>
      <c:pivotFmt>
        <c:idx val="389"/>
        <c:marker>
          <c:symbol val="none"/>
        </c:marker>
      </c:pivotFmt>
      <c:pivotFmt>
        <c:idx val="390"/>
        <c:marker>
          <c:symbol val="none"/>
        </c:marker>
      </c:pivotFmt>
      <c:pivotFmt>
        <c:idx val="391"/>
        <c:marker>
          <c:symbol val="none"/>
        </c:marker>
      </c:pivotFmt>
      <c:pivotFmt>
        <c:idx val="392"/>
        <c:marker>
          <c:symbol val="none"/>
        </c:marker>
      </c:pivotFmt>
      <c:pivotFmt>
        <c:idx val="393"/>
        <c:marker>
          <c:symbol val="none"/>
        </c:marker>
      </c:pivotFmt>
      <c:pivotFmt>
        <c:idx val="394"/>
        <c:marker>
          <c:symbol val="none"/>
        </c:marker>
      </c:pivotFmt>
      <c:pivotFmt>
        <c:idx val="395"/>
        <c:marker>
          <c:symbol val="none"/>
        </c:marker>
      </c:pivotFmt>
      <c:pivotFmt>
        <c:idx val="396"/>
        <c:marker>
          <c:symbol val="none"/>
        </c:marker>
      </c:pivotFmt>
      <c:pivotFmt>
        <c:idx val="397"/>
        <c:marker>
          <c:symbol val="none"/>
        </c:marker>
      </c:pivotFmt>
      <c:pivotFmt>
        <c:idx val="398"/>
        <c:marker>
          <c:symbol val="none"/>
        </c:marker>
      </c:pivotFmt>
      <c:pivotFmt>
        <c:idx val="399"/>
        <c:marker>
          <c:symbol val="none"/>
        </c:marker>
      </c:pivotFmt>
      <c:pivotFmt>
        <c:idx val="400"/>
        <c:marker>
          <c:symbol val="none"/>
        </c:marker>
      </c:pivotFmt>
      <c:pivotFmt>
        <c:idx val="401"/>
        <c:marker>
          <c:symbol val="none"/>
        </c:marker>
      </c:pivotFmt>
      <c:pivotFmt>
        <c:idx val="402"/>
        <c:marker>
          <c:symbol val="none"/>
        </c:marker>
      </c:pivotFmt>
      <c:pivotFmt>
        <c:idx val="403"/>
        <c:marker>
          <c:symbol val="none"/>
        </c:marker>
      </c:pivotFmt>
      <c:pivotFmt>
        <c:idx val="404"/>
        <c:marker>
          <c:symbol val="none"/>
        </c:marker>
      </c:pivotFmt>
      <c:pivotFmt>
        <c:idx val="405"/>
        <c:marker>
          <c:symbol val="none"/>
        </c:marker>
      </c:pivotFmt>
      <c:pivotFmt>
        <c:idx val="406"/>
        <c:marker>
          <c:symbol val="none"/>
        </c:marker>
      </c:pivotFmt>
      <c:pivotFmt>
        <c:idx val="407"/>
        <c:marker>
          <c:symbol val="none"/>
        </c:marker>
      </c:pivotFmt>
      <c:pivotFmt>
        <c:idx val="408"/>
        <c:marker>
          <c:symbol val="none"/>
        </c:marker>
      </c:pivotFmt>
      <c:pivotFmt>
        <c:idx val="409"/>
        <c:marker>
          <c:symbol val="none"/>
        </c:marker>
      </c:pivotFmt>
      <c:pivotFmt>
        <c:idx val="410"/>
        <c:marker>
          <c:symbol val="none"/>
        </c:marker>
      </c:pivotFmt>
      <c:pivotFmt>
        <c:idx val="411"/>
        <c:marker>
          <c:symbol val="none"/>
        </c:marker>
      </c:pivotFmt>
      <c:pivotFmt>
        <c:idx val="412"/>
        <c:marker>
          <c:symbol val="none"/>
        </c:marker>
      </c:pivotFmt>
      <c:pivotFmt>
        <c:idx val="413"/>
        <c:marker>
          <c:symbol val="none"/>
        </c:marker>
      </c:pivotFmt>
      <c:pivotFmt>
        <c:idx val="414"/>
        <c:marker>
          <c:symbol val="none"/>
        </c:marker>
      </c:pivotFmt>
      <c:pivotFmt>
        <c:idx val="415"/>
        <c:marker>
          <c:symbol val="none"/>
        </c:marker>
      </c:pivotFmt>
      <c:pivotFmt>
        <c:idx val="416"/>
        <c:marker>
          <c:symbol val="none"/>
        </c:marker>
      </c:pivotFmt>
      <c:pivotFmt>
        <c:idx val="417"/>
        <c:marker>
          <c:symbol val="none"/>
        </c:marker>
      </c:pivotFmt>
      <c:pivotFmt>
        <c:idx val="418"/>
        <c:marker>
          <c:symbol val="none"/>
        </c:marker>
      </c:pivotFmt>
      <c:pivotFmt>
        <c:idx val="419"/>
        <c:marker>
          <c:symbol val="none"/>
        </c:marker>
      </c:pivotFmt>
      <c:pivotFmt>
        <c:idx val="420"/>
        <c:marker>
          <c:symbol val="none"/>
        </c:marker>
      </c:pivotFmt>
      <c:pivotFmt>
        <c:idx val="421"/>
        <c:marker>
          <c:symbol val="none"/>
        </c:marker>
      </c:pivotFmt>
      <c:pivotFmt>
        <c:idx val="422"/>
        <c:marker>
          <c:symbol val="none"/>
        </c:marker>
      </c:pivotFmt>
      <c:pivotFmt>
        <c:idx val="423"/>
        <c:marker>
          <c:symbol val="none"/>
        </c:marker>
      </c:pivotFmt>
      <c:pivotFmt>
        <c:idx val="424"/>
        <c:marker>
          <c:symbol val="none"/>
        </c:marker>
      </c:pivotFmt>
      <c:pivotFmt>
        <c:idx val="425"/>
        <c:marker>
          <c:symbol val="none"/>
        </c:marker>
      </c:pivotFmt>
      <c:pivotFmt>
        <c:idx val="426"/>
        <c:marker>
          <c:symbol val="none"/>
        </c:marker>
      </c:pivotFmt>
      <c:pivotFmt>
        <c:idx val="427"/>
        <c:marker>
          <c:symbol val="none"/>
        </c:marker>
      </c:pivotFmt>
      <c:pivotFmt>
        <c:idx val="428"/>
        <c:marker>
          <c:symbol val="none"/>
        </c:marker>
      </c:pivotFmt>
      <c:pivotFmt>
        <c:idx val="429"/>
        <c:marker>
          <c:symbol val="none"/>
        </c:marker>
      </c:pivotFmt>
      <c:pivotFmt>
        <c:idx val="430"/>
        <c:marker>
          <c:symbol val="none"/>
        </c:marker>
      </c:pivotFmt>
      <c:pivotFmt>
        <c:idx val="431"/>
        <c:marker>
          <c:symbol val="none"/>
        </c:marker>
      </c:pivotFmt>
      <c:pivotFmt>
        <c:idx val="432"/>
        <c:marker>
          <c:symbol val="none"/>
        </c:marker>
      </c:pivotFmt>
      <c:pivotFmt>
        <c:idx val="433"/>
        <c:marker>
          <c:symbol val="none"/>
        </c:marker>
      </c:pivotFmt>
      <c:pivotFmt>
        <c:idx val="434"/>
        <c:marker>
          <c:symbol val="none"/>
        </c:marker>
      </c:pivotFmt>
      <c:pivotFmt>
        <c:idx val="435"/>
        <c:marker>
          <c:symbol val="none"/>
        </c:marker>
      </c:pivotFmt>
      <c:pivotFmt>
        <c:idx val="436"/>
        <c:marker>
          <c:symbol val="none"/>
        </c:marker>
      </c:pivotFmt>
      <c:pivotFmt>
        <c:idx val="437"/>
        <c:marker>
          <c:symbol val="none"/>
        </c:marker>
      </c:pivotFmt>
      <c:pivotFmt>
        <c:idx val="438"/>
        <c:marker>
          <c:symbol val="none"/>
        </c:marker>
      </c:pivotFmt>
      <c:pivotFmt>
        <c:idx val="439"/>
        <c:marker>
          <c:symbol val="none"/>
        </c:marker>
      </c:pivotFmt>
      <c:pivotFmt>
        <c:idx val="440"/>
        <c:marker>
          <c:symbol val="none"/>
        </c:marker>
      </c:pivotFmt>
      <c:pivotFmt>
        <c:idx val="441"/>
        <c:marker>
          <c:symbol val="none"/>
        </c:marker>
      </c:pivotFmt>
      <c:pivotFmt>
        <c:idx val="442"/>
        <c:marker>
          <c:symbol val="none"/>
        </c:marker>
      </c:pivotFmt>
      <c:pivotFmt>
        <c:idx val="443"/>
        <c:marker>
          <c:symbol val="none"/>
        </c:marker>
      </c:pivotFmt>
      <c:pivotFmt>
        <c:idx val="444"/>
        <c:marker>
          <c:symbol val="none"/>
        </c:marker>
      </c:pivotFmt>
      <c:pivotFmt>
        <c:idx val="445"/>
        <c:marker>
          <c:symbol val="none"/>
        </c:marker>
      </c:pivotFmt>
      <c:pivotFmt>
        <c:idx val="446"/>
        <c:marker>
          <c:symbol val="none"/>
        </c:marker>
      </c:pivotFmt>
      <c:pivotFmt>
        <c:idx val="447"/>
        <c:marker>
          <c:symbol val="none"/>
        </c:marker>
      </c:pivotFmt>
      <c:pivotFmt>
        <c:idx val="448"/>
        <c:marker>
          <c:symbol val="none"/>
        </c:marker>
      </c:pivotFmt>
      <c:pivotFmt>
        <c:idx val="449"/>
        <c:marker>
          <c:symbol val="none"/>
        </c:marker>
      </c:pivotFmt>
      <c:pivotFmt>
        <c:idx val="450"/>
        <c:marker>
          <c:symbol val="none"/>
        </c:marker>
      </c:pivotFmt>
      <c:pivotFmt>
        <c:idx val="451"/>
        <c:marker>
          <c:symbol val="none"/>
        </c:marker>
      </c:pivotFmt>
      <c:pivotFmt>
        <c:idx val="452"/>
        <c:marker>
          <c:symbol val="none"/>
        </c:marker>
      </c:pivotFmt>
      <c:pivotFmt>
        <c:idx val="453"/>
        <c:marker>
          <c:symbol val="none"/>
        </c:marker>
      </c:pivotFmt>
      <c:pivotFmt>
        <c:idx val="454"/>
        <c:marker>
          <c:symbol val="none"/>
        </c:marker>
      </c:pivotFmt>
      <c:pivotFmt>
        <c:idx val="455"/>
        <c:marker>
          <c:symbol val="none"/>
        </c:marker>
      </c:pivotFmt>
      <c:pivotFmt>
        <c:idx val="456"/>
        <c:marker>
          <c:symbol val="none"/>
        </c:marker>
      </c:pivotFmt>
      <c:pivotFmt>
        <c:idx val="457"/>
        <c:marker>
          <c:symbol val="none"/>
        </c:marker>
      </c:pivotFmt>
      <c:pivotFmt>
        <c:idx val="458"/>
        <c:marker>
          <c:symbol val="none"/>
        </c:marker>
      </c:pivotFmt>
      <c:pivotFmt>
        <c:idx val="459"/>
        <c:marker>
          <c:symbol val="none"/>
        </c:marker>
      </c:pivotFmt>
      <c:pivotFmt>
        <c:idx val="460"/>
        <c:marker>
          <c:symbol val="none"/>
        </c:marker>
      </c:pivotFmt>
      <c:pivotFmt>
        <c:idx val="461"/>
        <c:marker>
          <c:symbol val="none"/>
        </c:marker>
      </c:pivotFmt>
      <c:pivotFmt>
        <c:idx val="462"/>
        <c:marker>
          <c:symbol val="none"/>
        </c:marker>
      </c:pivotFmt>
      <c:pivotFmt>
        <c:idx val="463"/>
        <c:marker>
          <c:symbol val="none"/>
        </c:marker>
      </c:pivotFmt>
      <c:pivotFmt>
        <c:idx val="464"/>
        <c:marker>
          <c:symbol val="none"/>
        </c:marker>
      </c:pivotFmt>
      <c:pivotFmt>
        <c:idx val="465"/>
        <c:marker>
          <c:symbol val="none"/>
        </c:marker>
      </c:pivotFmt>
      <c:pivotFmt>
        <c:idx val="466"/>
        <c:marker>
          <c:symbol val="none"/>
        </c:marker>
      </c:pivotFmt>
      <c:pivotFmt>
        <c:idx val="467"/>
        <c:marker>
          <c:symbol val="none"/>
        </c:marker>
      </c:pivotFmt>
      <c:pivotFmt>
        <c:idx val="468"/>
        <c:marker>
          <c:symbol val="none"/>
        </c:marker>
      </c:pivotFmt>
      <c:pivotFmt>
        <c:idx val="469"/>
        <c:marker>
          <c:symbol val="none"/>
        </c:marker>
      </c:pivotFmt>
      <c:pivotFmt>
        <c:idx val="470"/>
        <c:marker>
          <c:symbol val="none"/>
        </c:marker>
      </c:pivotFmt>
      <c:pivotFmt>
        <c:idx val="471"/>
        <c:marker>
          <c:symbol val="none"/>
        </c:marker>
      </c:pivotFmt>
      <c:pivotFmt>
        <c:idx val="472"/>
        <c:marker>
          <c:symbol val="none"/>
        </c:marker>
      </c:pivotFmt>
      <c:pivotFmt>
        <c:idx val="473"/>
        <c:marker>
          <c:symbol val="none"/>
        </c:marker>
      </c:pivotFmt>
      <c:pivotFmt>
        <c:idx val="474"/>
        <c:marker>
          <c:symbol val="none"/>
        </c:marker>
      </c:pivotFmt>
      <c:pivotFmt>
        <c:idx val="475"/>
        <c:marker>
          <c:symbol val="none"/>
        </c:marker>
      </c:pivotFmt>
      <c:pivotFmt>
        <c:idx val="476"/>
        <c:marker>
          <c:symbol val="none"/>
        </c:marker>
      </c:pivotFmt>
      <c:pivotFmt>
        <c:idx val="477"/>
        <c:marker>
          <c:symbol val="none"/>
        </c:marker>
      </c:pivotFmt>
      <c:pivotFmt>
        <c:idx val="478"/>
        <c:marker>
          <c:symbol val="none"/>
        </c:marker>
      </c:pivotFmt>
      <c:pivotFmt>
        <c:idx val="479"/>
        <c:marker>
          <c:symbol val="none"/>
        </c:marker>
      </c:pivotFmt>
      <c:pivotFmt>
        <c:idx val="480"/>
        <c:marker>
          <c:symbol val="none"/>
        </c:marker>
      </c:pivotFmt>
      <c:pivotFmt>
        <c:idx val="481"/>
        <c:marker>
          <c:symbol val="none"/>
        </c:marker>
      </c:pivotFmt>
      <c:pivotFmt>
        <c:idx val="482"/>
        <c:marker>
          <c:symbol val="none"/>
        </c:marker>
      </c:pivotFmt>
      <c:pivotFmt>
        <c:idx val="483"/>
        <c:marker>
          <c:symbol val="none"/>
        </c:marker>
      </c:pivotFmt>
      <c:pivotFmt>
        <c:idx val="484"/>
        <c:marker>
          <c:symbol val="none"/>
        </c:marker>
      </c:pivotFmt>
      <c:pivotFmt>
        <c:idx val="485"/>
        <c:marker>
          <c:symbol val="none"/>
        </c:marker>
      </c:pivotFmt>
      <c:pivotFmt>
        <c:idx val="486"/>
        <c:marker>
          <c:symbol val="none"/>
        </c:marker>
      </c:pivotFmt>
      <c:pivotFmt>
        <c:idx val="487"/>
        <c:marker>
          <c:symbol val="none"/>
        </c:marker>
      </c:pivotFmt>
      <c:pivotFmt>
        <c:idx val="488"/>
        <c:marker>
          <c:symbol val="none"/>
        </c:marker>
      </c:pivotFmt>
      <c:pivotFmt>
        <c:idx val="489"/>
        <c:marker>
          <c:symbol val="none"/>
        </c:marker>
      </c:pivotFmt>
      <c:pivotFmt>
        <c:idx val="490"/>
        <c:marker>
          <c:symbol val="none"/>
        </c:marker>
      </c:pivotFmt>
      <c:pivotFmt>
        <c:idx val="491"/>
        <c:marker>
          <c:symbol val="none"/>
        </c:marker>
      </c:pivotFmt>
      <c:pivotFmt>
        <c:idx val="492"/>
        <c:marker>
          <c:symbol val="none"/>
        </c:marker>
      </c:pivotFmt>
      <c:pivotFmt>
        <c:idx val="493"/>
        <c:marker>
          <c:symbol val="none"/>
        </c:marker>
      </c:pivotFmt>
      <c:pivotFmt>
        <c:idx val="494"/>
        <c:marker>
          <c:symbol val="none"/>
        </c:marker>
      </c:pivotFmt>
      <c:pivotFmt>
        <c:idx val="495"/>
        <c:marker>
          <c:symbol val="none"/>
        </c:marker>
      </c:pivotFmt>
      <c:pivotFmt>
        <c:idx val="496"/>
        <c:marker>
          <c:symbol val="none"/>
        </c:marker>
      </c:pivotFmt>
      <c:pivotFmt>
        <c:idx val="497"/>
        <c:marker>
          <c:symbol val="none"/>
        </c:marker>
      </c:pivotFmt>
      <c:pivotFmt>
        <c:idx val="498"/>
        <c:marker>
          <c:symbol val="none"/>
        </c:marker>
      </c:pivotFmt>
      <c:pivotFmt>
        <c:idx val="499"/>
        <c:marker>
          <c:symbol val="none"/>
        </c:marker>
      </c:pivotFmt>
      <c:pivotFmt>
        <c:idx val="500"/>
        <c:marker>
          <c:symbol val="none"/>
        </c:marker>
      </c:pivotFmt>
      <c:pivotFmt>
        <c:idx val="501"/>
        <c:marker>
          <c:symbol val="none"/>
        </c:marker>
      </c:pivotFmt>
      <c:pivotFmt>
        <c:idx val="502"/>
        <c:marker>
          <c:symbol val="none"/>
        </c:marker>
      </c:pivotFmt>
      <c:pivotFmt>
        <c:idx val="503"/>
        <c:marker>
          <c:symbol val="none"/>
        </c:marker>
      </c:pivotFmt>
      <c:pivotFmt>
        <c:idx val="504"/>
        <c:marker>
          <c:symbol val="none"/>
        </c:marker>
      </c:pivotFmt>
      <c:pivotFmt>
        <c:idx val="505"/>
        <c:marker>
          <c:symbol val="none"/>
        </c:marker>
      </c:pivotFmt>
      <c:pivotFmt>
        <c:idx val="506"/>
        <c:marker>
          <c:symbol val="none"/>
        </c:marker>
      </c:pivotFmt>
      <c:pivotFmt>
        <c:idx val="507"/>
        <c:marker>
          <c:symbol val="none"/>
        </c:marker>
      </c:pivotFmt>
      <c:pivotFmt>
        <c:idx val="508"/>
        <c:marker>
          <c:symbol val="none"/>
        </c:marker>
      </c:pivotFmt>
      <c:pivotFmt>
        <c:idx val="509"/>
        <c:marker>
          <c:symbol val="none"/>
        </c:marker>
      </c:pivotFmt>
      <c:pivotFmt>
        <c:idx val="510"/>
        <c:marker>
          <c:symbol val="none"/>
        </c:marker>
      </c:pivotFmt>
      <c:pivotFmt>
        <c:idx val="511"/>
        <c:marker>
          <c:symbol val="none"/>
        </c:marker>
      </c:pivotFmt>
      <c:pivotFmt>
        <c:idx val="512"/>
        <c:marker>
          <c:symbol val="none"/>
        </c:marker>
      </c:pivotFmt>
      <c:pivotFmt>
        <c:idx val="513"/>
        <c:marker>
          <c:symbol val="none"/>
        </c:marker>
      </c:pivotFmt>
      <c:pivotFmt>
        <c:idx val="514"/>
        <c:marker>
          <c:symbol val="none"/>
        </c:marker>
      </c:pivotFmt>
      <c:pivotFmt>
        <c:idx val="515"/>
        <c:marker>
          <c:symbol val="none"/>
        </c:marker>
      </c:pivotFmt>
      <c:pivotFmt>
        <c:idx val="516"/>
        <c:marker>
          <c:symbol val="none"/>
        </c:marker>
      </c:pivotFmt>
      <c:pivotFmt>
        <c:idx val="517"/>
        <c:marker>
          <c:symbol val="none"/>
        </c:marker>
      </c:pivotFmt>
      <c:pivotFmt>
        <c:idx val="518"/>
        <c:marker>
          <c:symbol val="none"/>
        </c:marker>
      </c:pivotFmt>
      <c:pivotFmt>
        <c:idx val="519"/>
        <c:marker>
          <c:symbol val="none"/>
        </c:marker>
      </c:pivotFmt>
      <c:pivotFmt>
        <c:idx val="520"/>
        <c:marker>
          <c:symbol val="none"/>
        </c:marker>
      </c:pivotFmt>
      <c:pivotFmt>
        <c:idx val="521"/>
        <c:marker>
          <c:symbol val="none"/>
        </c:marker>
      </c:pivotFmt>
      <c:pivotFmt>
        <c:idx val="522"/>
        <c:marker>
          <c:symbol val="none"/>
        </c:marker>
      </c:pivotFmt>
      <c:pivotFmt>
        <c:idx val="523"/>
        <c:marker>
          <c:symbol val="none"/>
        </c:marker>
      </c:pivotFmt>
      <c:pivotFmt>
        <c:idx val="524"/>
        <c:marker>
          <c:symbol val="none"/>
        </c:marker>
      </c:pivotFmt>
      <c:pivotFmt>
        <c:idx val="525"/>
        <c:marker>
          <c:symbol val="none"/>
        </c:marker>
      </c:pivotFmt>
      <c:pivotFmt>
        <c:idx val="526"/>
        <c:marker>
          <c:symbol val="none"/>
        </c:marker>
      </c:pivotFmt>
      <c:pivotFmt>
        <c:idx val="527"/>
        <c:marker>
          <c:symbol val="none"/>
        </c:marker>
      </c:pivotFmt>
      <c:pivotFmt>
        <c:idx val="528"/>
        <c:marker>
          <c:symbol val="none"/>
        </c:marker>
      </c:pivotFmt>
      <c:pivotFmt>
        <c:idx val="529"/>
        <c:marker>
          <c:symbol val="none"/>
        </c:marker>
      </c:pivotFmt>
      <c:pivotFmt>
        <c:idx val="530"/>
        <c:marker>
          <c:symbol val="none"/>
        </c:marker>
      </c:pivotFmt>
      <c:pivotFmt>
        <c:idx val="531"/>
        <c:marker>
          <c:symbol val="none"/>
        </c:marker>
      </c:pivotFmt>
      <c:pivotFmt>
        <c:idx val="532"/>
        <c:marker>
          <c:symbol val="none"/>
        </c:marker>
      </c:pivotFmt>
      <c:pivotFmt>
        <c:idx val="533"/>
        <c:marker>
          <c:symbol val="none"/>
        </c:marker>
      </c:pivotFmt>
      <c:pivotFmt>
        <c:idx val="534"/>
        <c:marker>
          <c:symbol val="none"/>
        </c:marker>
      </c:pivotFmt>
      <c:pivotFmt>
        <c:idx val="535"/>
        <c:marker>
          <c:symbol val="none"/>
        </c:marker>
      </c:pivotFmt>
      <c:pivotFmt>
        <c:idx val="536"/>
        <c:marker>
          <c:symbol val="none"/>
        </c:marker>
      </c:pivotFmt>
      <c:pivotFmt>
        <c:idx val="537"/>
        <c:marker>
          <c:symbol val="none"/>
        </c:marker>
      </c:pivotFmt>
      <c:pivotFmt>
        <c:idx val="538"/>
        <c:marker>
          <c:symbol val="none"/>
        </c:marker>
      </c:pivotFmt>
      <c:pivotFmt>
        <c:idx val="539"/>
        <c:marker>
          <c:symbol val="none"/>
        </c:marker>
      </c:pivotFmt>
      <c:pivotFmt>
        <c:idx val="540"/>
        <c:marker>
          <c:symbol val="none"/>
        </c:marker>
      </c:pivotFmt>
      <c:pivotFmt>
        <c:idx val="541"/>
        <c:marker>
          <c:symbol val="none"/>
        </c:marker>
      </c:pivotFmt>
      <c:pivotFmt>
        <c:idx val="542"/>
        <c:marker>
          <c:symbol val="none"/>
        </c:marker>
      </c:pivotFmt>
      <c:pivotFmt>
        <c:idx val="543"/>
        <c:marker>
          <c:symbol val="none"/>
        </c:marker>
      </c:pivotFmt>
      <c:pivotFmt>
        <c:idx val="544"/>
        <c:marker>
          <c:symbol val="none"/>
        </c:marker>
      </c:pivotFmt>
      <c:pivotFmt>
        <c:idx val="545"/>
        <c:marker>
          <c:symbol val="none"/>
        </c:marker>
      </c:pivotFmt>
      <c:pivotFmt>
        <c:idx val="546"/>
        <c:marker>
          <c:symbol val="none"/>
        </c:marker>
      </c:pivotFmt>
      <c:pivotFmt>
        <c:idx val="547"/>
        <c:marker>
          <c:symbol val="none"/>
        </c:marker>
      </c:pivotFmt>
      <c:pivotFmt>
        <c:idx val="548"/>
        <c:marker>
          <c:symbol val="none"/>
        </c:marker>
      </c:pivotFmt>
      <c:pivotFmt>
        <c:idx val="549"/>
        <c:marker>
          <c:symbol val="none"/>
        </c:marker>
      </c:pivotFmt>
      <c:pivotFmt>
        <c:idx val="550"/>
        <c:marker>
          <c:symbol val="none"/>
        </c:marker>
      </c:pivotFmt>
      <c:pivotFmt>
        <c:idx val="551"/>
        <c:marker>
          <c:symbol val="none"/>
        </c:marker>
      </c:pivotFmt>
      <c:pivotFmt>
        <c:idx val="552"/>
        <c:marker>
          <c:symbol val="none"/>
        </c:marker>
      </c:pivotFmt>
      <c:pivotFmt>
        <c:idx val="553"/>
        <c:marker>
          <c:symbol val="none"/>
        </c:marker>
      </c:pivotFmt>
      <c:pivotFmt>
        <c:idx val="554"/>
        <c:marker>
          <c:symbol val="none"/>
        </c:marker>
      </c:pivotFmt>
      <c:pivotFmt>
        <c:idx val="555"/>
        <c:marker>
          <c:symbol val="none"/>
        </c:marker>
      </c:pivotFmt>
      <c:pivotFmt>
        <c:idx val="556"/>
        <c:marker>
          <c:symbol val="none"/>
        </c:marker>
      </c:pivotFmt>
      <c:pivotFmt>
        <c:idx val="557"/>
        <c:marker>
          <c:symbol val="none"/>
        </c:marker>
      </c:pivotFmt>
      <c:pivotFmt>
        <c:idx val="558"/>
        <c:marker>
          <c:symbol val="none"/>
        </c:marker>
      </c:pivotFmt>
      <c:pivotFmt>
        <c:idx val="559"/>
        <c:marker>
          <c:symbol val="none"/>
        </c:marker>
      </c:pivotFmt>
      <c:pivotFmt>
        <c:idx val="560"/>
        <c:marker>
          <c:symbol val="none"/>
        </c:marker>
      </c:pivotFmt>
      <c:pivotFmt>
        <c:idx val="561"/>
        <c:marker>
          <c:symbol val="none"/>
        </c:marker>
      </c:pivotFmt>
      <c:pivotFmt>
        <c:idx val="562"/>
        <c:marker>
          <c:symbol val="none"/>
        </c:marker>
      </c:pivotFmt>
      <c:pivotFmt>
        <c:idx val="563"/>
        <c:marker>
          <c:symbol val="none"/>
        </c:marker>
      </c:pivotFmt>
      <c:pivotFmt>
        <c:idx val="564"/>
        <c:marker>
          <c:symbol val="none"/>
        </c:marker>
      </c:pivotFmt>
      <c:pivotFmt>
        <c:idx val="565"/>
        <c:marker>
          <c:symbol val="none"/>
        </c:marker>
      </c:pivotFmt>
      <c:pivotFmt>
        <c:idx val="566"/>
        <c:marker>
          <c:symbol val="none"/>
        </c:marker>
      </c:pivotFmt>
      <c:pivotFmt>
        <c:idx val="567"/>
        <c:marker>
          <c:symbol val="none"/>
        </c:marker>
      </c:pivotFmt>
      <c:pivotFmt>
        <c:idx val="568"/>
        <c:marker>
          <c:symbol val="none"/>
        </c:marker>
      </c:pivotFmt>
      <c:pivotFmt>
        <c:idx val="569"/>
        <c:marker>
          <c:symbol val="none"/>
        </c:marker>
      </c:pivotFmt>
      <c:pivotFmt>
        <c:idx val="570"/>
        <c:marker>
          <c:symbol val="none"/>
        </c:marker>
      </c:pivotFmt>
      <c:pivotFmt>
        <c:idx val="571"/>
        <c:marker>
          <c:symbol val="none"/>
        </c:marker>
      </c:pivotFmt>
      <c:pivotFmt>
        <c:idx val="572"/>
        <c:marker>
          <c:symbol val="none"/>
        </c:marker>
      </c:pivotFmt>
      <c:pivotFmt>
        <c:idx val="573"/>
        <c:marker>
          <c:symbol val="none"/>
        </c:marker>
      </c:pivotFmt>
      <c:pivotFmt>
        <c:idx val="574"/>
        <c:marker>
          <c:symbol val="none"/>
        </c:marker>
      </c:pivotFmt>
      <c:pivotFmt>
        <c:idx val="575"/>
        <c:marker>
          <c:symbol val="none"/>
        </c:marker>
      </c:pivotFmt>
      <c:pivotFmt>
        <c:idx val="576"/>
        <c:marker>
          <c:symbol val="none"/>
        </c:marker>
      </c:pivotFmt>
      <c:pivotFmt>
        <c:idx val="577"/>
        <c:marker>
          <c:symbol val="none"/>
        </c:marker>
      </c:pivotFmt>
      <c:pivotFmt>
        <c:idx val="578"/>
        <c:marker>
          <c:symbol val="none"/>
        </c:marker>
      </c:pivotFmt>
      <c:pivotFmt>
        <c:idx val="579"/>
        <c:marker>
          <c:symbol val="none"/>
        </c:marker>
      </c:pivotFmt>
      <c:pivotFmt>
        <c:idx val="580"/>
        <c:marker>
          <c:symbol val="none"/>
        </c:marker>
      </c:pivotFmt>
      <c:pivotFmt>
        <c:idx val="581"/>
        <c:marker>
          <c:symbol val="none"/>
        </c:marker>
      </c:pivotFmt>
      <c:pivotFmt>
        <c:idx val="582"/>
        <c:marker>
          <c:symbol val="none"/>
        </c:marker>
      </c:pivotFmt>
      <c:pivotFmt>
        <c:idx val="583"/>
        <c:marker>
          <c:symbol val="none"/>
        </c:marker>
      </c:pivotFmt>
      <c:pivotFmt>
        <c:idx val="584"/>
        <c:marker>
          <c:symbol val="none"/>
        </c:marker>
      </c:pivotFmt>
      <c:pivotFmt>
        <c:idx val="585"/>
        <c:marker>
          <c:symbol val="none"/>
        </c:marker>
      </c:pivotFmt>
      <c:pivotFmt>
        <c:idx val="586"/>
        <c:marker>
          <c:symbol val="none"/>
        </c:marker>
      </c:pivotFmt>
      <c:pivotFmt>
        <c:idx val="587"/>
        <c:marker>
          <c:symbol val="none"/>
        </c:marker>
      </c:pivotFmt>
      <c:pivotFmt>
        <c:idx val="588"/>
        <c:marker>
          <c:symbol val="none"/>
        </c:marker>
      </c:pivotFmt>
      <c:pivotFmt>
        <c:idx val="589"/>
        <c:marker>
          <c:symbol val="none"/>
        </c:marker>
      </c:pivotFmt>
      <c:pivotFmt>
        <c:idx val="590"/>
        <c:marker>
          <c:symbol val="none"/>
        </c:marker>
      </c:pivotFmt>
      <c:pivotFmt>
        <c:idx val="591"/>
        <c:marker>
          <c:symbol val="none"/>
        </c:marker>
      </c:pivotFmt>
      <c:pivotFmt>
        <c:idx val="592"/>
        <c:marker>
          <c:symbol val="none"/>
        </c:marker>
      </c:pivotFmt>
      <c:pivotFmt>
        <c:idx val="593"/>
        <c:marker>
          <c:symbol val="none"/>
        </c:marker>
      </c:pivotFmt>
      <c:pivotFmt>
        <c:idx val="594"/>
        <c:marker>
          <c:symbol val="none"/>
        </c:marker>
      </c:pivotFmt>
      <c:pivotFmt>
        <c:idx val="595"/>
        <c:marker>
          <c:symbol val="none"/>
        </c:marker>
      </c:pivotFmt>
      <c:pivotFmt>
        <c:idx val="596"/>
        <c:marker>
          <c:symbol val="none"/>
        </c:marker>
      </c:pivotFmt>
      <c:pivotFmt>
        <c:idx val="597"/>
        <c:marker>
          <c:symbol val="none"/>
        </c:marker>
      </c:pivotFmt>
      <c:pivotFmt>
        <c:idx val="598"/>
        <c:marker>
          <c:symbol val="none"/>
        </c:marker>
      </c:pivotFmt>
      <c:pivotFmt>
        <c:idx val="599"/>
        <c:marker>
          <c:symbol val="none"/>
        </c:marker>
      </c:pivotFmt>
      <c:pivotFmt>
        <c:idx val="600"/>
        <c:marker>
          <c:symbol val="none"/>
        </c:marker>
      </c:pivotFmt>
      <c:pivotFmt>
        <c:idx val="601"/>
        <c:marker>
          <c:symbol val="none"/>
        </c:marker>
      </c:pivotFmt>
      <c:pivotFmt>
        <c:idx val="602"/>
        <c:marker>
          <c:symbol val="none"/>
        </c:marker>
      </c:pivotFmt>
      <c:pivotFmt>
        <c:idx val="603"/>
        <c:marker>
          <c:symbol val="none"/>
        </c:marker>
      </c:pivotFmt>
      <c:pivotFmt>
        <c:idx val="604"/>
        <c:marker>
          <c:symbol val="none"/>
        </c:marker>
      </c:pivotFmt>
      <c:pivotFmt>
        <c:idx val="605"/>
        <c:marker>
          <c:symbol val="none"/>
        </c:marker>
      </c:pivotFmt>
      <c:pivotFmt>
        <c:idx val="606"/>
        <c:marker>
          <c:symbol val="none"/>
        </c:marker>
      </c:pivotFmt>
      <c:pivotFmt>
        <c:idx val="607"/>
        <c:marker>
          <c:symbol val="none"/>
        </c:marker>
      </c:pivotFmt>
      <c:pivotFmt>
        <c:idx val="608"/>
        <c:marker>
          <c:symbol val="none"/>
        </c:marker>
      </c:pivotFmt>
      <c:pivotFmt>
        <c:idx val="609"/>
        <c:marker>
          <c:symbol val="none"/>
        </c:marker>
      </c:pivotFmt>
      <c:pivotFmt>
        <c:idx val="610"/>
        <c:marker>
          <c:symbol val="none"/>
        </c:marker>
      </c:pivotFmt>
      <c:pivotFmt>
        <c:idx val="611"/>
        <c:marker>
          <c:symbol val="none"/>
        </c:marker>
      </c:pivotFmt>
      <c:pivotFmt>
        <c:idx val="612"/>
        <c:marker>
          <c:symbol val="none"/>
        </c:marker>
      </c:pivotFmt>
      <c:pivotFmt>
        <c:idx val="613"/>
        <c:marker>
          <c:symbol val="none"/>
        </c:marker>
      </c:pivotFmt>
      <c:pivotFmt>
        <c:idx val="614"/>
        <c:marker>
          <c:symbol val="none"/>
        </c:marker>
      </c:pivotFmt>
      <c:pivotFmt>
        <c:idx val="615"/>
        <c:marker>
          <c:symbol val="none"/>
        </c:marker>
      </c:pivotFmt>
      <c:pivotFmt>
        <c:idx val="616"/>
        <c:marker>
          <c:symbol val="none"/>
        </c:marker>
      </c:pivotFmt>
      <c:pivotFmt>
        <c:idx val="617"/>
        <c:marker>
          <c:symbol val="none"/>
        </c:marker>
      </c:pivotFmt>
      <c:pivotFmt>
        <c:idx val="618"/>
        <c:marker>
          <c:symbol val="none"/>
        </c:marker>
      </c:pivotFmt>
      <c:pivotFmt>
        <c:idx val="619"/>
        <c:marker>
          <c:symbol val="none"/>
        </c:marker>
      </c:pivotFmt>
      <c:pivotFmt>
        <c:idx val="620"/>
        <c:marker>
          <c:symbol val="none"/>
        </c:marker>
      </c:pivotFmt>
      <c:pivotFmt>
        <c:idx val="621"/>
        <c:marker>
          <c:symbol val="none"/>
        </c:marker>
      </c:pivotFmt>
      <c:pivotFmt>
        <c:idx val="622"/>
        <c:marker>
          <c:symbol val="none"/>
        </c:marker>
      </c:pivotFmt>
      <c:pivotFmt>
        <c:idx val="623"/>
        <c:marker>
          <c:symbol val="none"/>
        </c:marker>
      </c:pivotFmt>
      <c:pivotFmt>
        <c:idx val="624"/>
        <c:marker>
          <c:symbol val="none"/>
        </c:marker>
      </c:pivotFmt>
      <c:pivotFmt>
        <c:idx val="625"/>
        <c:marker>
          <c:symbol val="none"/>
        </c:marker>
      </c:pivotFmt>
      <c:pivotFmt>
        <c:idx val="626"/>
        <c:marker>
          <c:symbol val="none"/>
        </c:marker>
      </c:pivotFmt>
      <c:pivotFmt>
        <c:idx val="627"/>
        <c:marker>
          <c:symbol val="none"/>
        </c:marker>
      </c:pivotFmt>
      <c:pivotFmt>
        <c:idx val="628"/>
        <c:marker>
          <c:symbol val="none"/>
        </c:marker>
      </c:pivotFmt>
      <c:pivotFmt>
        <c:idx val="629"/>
        <c:marker>
          <c:symbol val="none"/>
        </c:marker>
      </c:pivotFmt>
      <c:pivotFmt>
        <c:idx val="630"/>
        <c:marker>
          <c:symbol val="none"/>
        </c:marker>
      </c:pivotFmt>
      <c:pivotFmt>
        <c:idx val="631"/>
        <c:marker>
          <c:symbol val="none"/>
        </c:marker>
      </c:pivotFmt>
      <c:pivotFmt>
        <c:idx val="632"/>
        <c:marker>
          <c:symbol val="none"/>
        </c:marker>
      </c:pivotFmt>
      <c:pivotFmt>
        <c:idx val="633"/>
        <c:marker>
          <c:symbol val="none"/>
        </c:marker>
      </c:pivotFmt>
      <c:pivotFmt>
        <c:idx val="634"/>
        <c:marker>
          <c:symbol val="none"/>
        </c:marker>
      </c:pivotFmt>
      <c:pivotFmt>
        <c:idx val="635"/>
        <c:marker>
          <c:symbol val="none"/>
        </c:marker>
      </c:pivotFmt>
      <c:pivotFmt>
        <c:idx val="636"/>
        <c:marker>
          <c:symbol val="none"/>
        </c:marker>
      </c:pivotFmt>
      <c:pivotFmt>
        <c:idx val="637"/>
        <c:marker>
          <c:symbol val="none"/>
        </c:marker>
      </c:pivotFmt>
      <c:pivotFmt>
        <c:idx val="638"/>
        <c:marker>
          <c:symbol val="none"/>
        </c:marker>
      </c:pivotFmt>
      <c:pivotFmt>
        <c:idx val="639"/>
        <c:marker>
          <c:symbol val="none"/>
        </c:marker>
      </c:pivotFmt>
      <c:pivotFmt>
        <c:idx val="640"/>
        <c:marker>
          <c:symbol val="none"/>
        </c:marker>
      </c:pivotFmt>
      <c:pivotFmt>
        <c:idx val="641"/>
        <c:marker>
          <c:symbol val="none"/>
        </c:marker>
      </c:pivotFmt>
      <c:pivotFmt>
        <c:idx val="642"/>
        <c:marker>
          <c:symbol val="none"/>
        </c:marker>
      </c:pivotFmt>
      <c:pivotFmt>
        <c:idx val="643"/>
        <c:marker>
          <c:symbol val="none"/>
        </c:marker>
      </c:pivotFmt>
      <c:pivotFmt>
        <c:idx val="644"/>
        <c:marker>
          <c:symbol val="none"/>
        </c:marker>
      </c:pivotFmt>
      <c:pivotFmt>
        <c:idx val="645"/>
        <c:marker>
          <c:symbol val="none"/>
        </c:marker>
      </c:pivotFmt>
      <c:pivotFmt>
        <c:idx val="646"/>
        <c:marker>
          <c:symbol val="none"/>
        </c:marker>
      </c:pivotFmt>
      <c:pivotFmt>
        <c:idx val="647"/>
        <c:marker>
          <c:symbol val="none"/>
        </c:marker>
      </c:pivotFmt>
      <c:pivotFmt>
        <c:idx val="648"/>
        <c:marker>
          <c:symbol val="none"/>
        </c:marker>
      </c:pivotFmt>
      <c:pivotFmt>
        <c:idx val="649"/>
        <c:marker>
          <c:symbol val="none"/>
        </c:marker>
      </c:pivotFmt>
      <c:pivotFmt>
        <c:idx val="650"/>
        <c:marker>
          <c:symbol val="none"/>
        </c:marker>
      </c:pivotFmt>
      <c:pivotFmt>
        <c:idx val="651"/>
        <c:marker>
          <c:symbol val="none"/>
        </c:marker>
      </c:pivotFmt>
      <c:pivotFmt>
        <c:idx val="652"/>
        <c:marker>
          <c:symbol val="none"/>
        </c:marker>
      </c:pivotFmt>
      <c:pivotFmt>
        <c:idx val="653"/>
        <c:marker>
          <c:symbol val="none"/>
        </c:marker>
      </c:pivotFmt>
      <c:pivotFmt>
        <c:idx val="654"/>
        <c:marker>
          <c:symbol val="none"/>
        </c:marker>
      </c:pivotFmt>
      <c:pivotFmt>
        <c:idx val="655"/>
        <c:marker>
          <c:symbol val="none"/>
        </c:marker>
      </c:pivotFmt>
      <c:pivotFmt>
        <c:idx val="656"/>
        <c:marker>
          <c:symbol val="none"/>
        </c:marker>
      </c:pivotFmt>
      <c:pivotFmt>
        <c:idx val="657"/>
        <c:marker>
          <c:symbol val="none"/>
        </c:marker>
      </c:pivotFmt>
      <c:pivotFmt>
        <c:idx val="658"/>
        <c:marker>
          <c:symbol val="none"/>
        </c:marker>
      </c:pivotFmt>
      <c:pivotFmt>
        <c:idx val="659"/>
        <c:marker>
          <c:symbol val="none"/>
        </c:marker>
      </c:pivotFmt>
      <c:pivotFmt>
        <c:idx val="660"/>
        <c:marker>
          <c:symbol val="none"/>
        </c:marker>
      </c:pivotFmt>
      <c:pivotFmt>
        <c:idx val="661"/>
        <c:marker>
          <c:symbol val="none"/>
        </c:marker>
      </c:pivotFmt>
      <c:pivotFmt>
        <c:idx val="662"/>
        <c:marker>
          <c:symbol val="none"/>
        </c:marker>
      </c:pivotFmt>
      <c:pivotFmt>
        <c:idx val="663"/>
        <c:marker>
          <c:symbol val="none"/>
        </c:marker>
      </c:pivotFmt>
      <c:pivotFmt>
        <c:idx val="664"/>
        <c:marker>
          <c:symbol val="none"/>
        </c:marker>
      </c:pivotFmt>
      <c:pivotFmt>
        <c:idx val="665"/>
        <c:marker>
          <c:symbol val="none"/>
        </c:marker>
      </c:pivotFmt>
      <c:pivotFmt>
        <c:idx val="666"/>
        <c:marker>
          <c:symbol val="none"/>
        </c:marker>
      </c:pivotFmt>
      <c:pivotFmt>
        <c:idx val="667"/>
        <c:marker>
          <c:symbol val="none"/>
        </c:marker>
      </c:pivotFmt>
      <c:pivotFmt>
        <c:idx val="668"/>
        <c:marker>
          <c:symbol val="none"/>
        </c:marker>
      </c:pivotFmt>
      <c:pivotFmt>
        <c:idx val="669"/>
        <c:marker>
          <c:symbol val="none"/>
        </c:marker>
      </c:pivotFmt>
      <c:pivotFmt>
        <c:idx val="670"/>
        <c:marker>
          <c:symbol val="none"/>
        </c:marker>
      </c:pivotFmt>
      <c:pivotFmt>
        <c:idx val="671"/>
        <c:marker>
          <c:symbol val="none"/>
        </c:marker>
      </c:pivotFmt>
      <c:pivotFmt>
        <c:idx val="672"/>
        <c:marker>
          <c:symbol val="none"/>
        </c:marker>
      </c:pivotFmt>
      <c:pivotFmt>
        <c:idx val="673"/>
        <c:marker>
          <c:symbol val="none"/>
        </c:marker>
      </c:pivotFmt>
      <c:pivotFmt>
        <c:idx val="674"/>
        <c:marker>
          <c:symbol val="none"/>
        </c:marker>
      </c:pivotFmt>
      <c:pivotFmt>
        <c:idx val="675"/>
        <c:marker>
          <c:symbol val="none"/>
        </c:marker>
      </c:pivotFmt>
      <c:pivotFmt>
        <c:idx val="676"/>
        <c:marker>
          <c:symbol val="none"/>
        </c:marker>
      </c:pivotFmt>
      <c:pivotFmt>
        <c:idx val="677"/>
        <c:marker>
          <c:symbol val="none"/>
        </c:marker>
      </c:pivotFmt>
      <c:pivotFmt>
        <c:idx val="678"/>
        <c:marker>
          <c:symbol val="none"/>
        </c:marker>
      </c:pivotFmt>
      <c:pivotFmt>
        <c:idx val="679"/>
        <c:marker>
          <c:symbol val="none"/>
        </c:marker>
      </c:pivotFmt>
      <c:pivotFmt>
        <c:idx val="680"/>
        <c:marker>
          <c:symbol val="none"/>
        </c:marker>
      </c:pivotFmt>
      <c:pivotFmt>
        <c:idx val="681"/>
        <c:marker>
          <c:symbol val="none"/>
        </c:marker>
      </c:pivotFmt>
      <c:pivotFmt>
        <c:idx val="682"/>
        <c:marker>
          <c:symbol val="none"/>
        </c:marker>
      </c:pivotFmt>
      <c:pivotFmt>
        <c:idx val="683"/>
        <c:marker>
          <c:symbol val="none"/>
        </c:marker>
      </c:pivotFmt>
      <c:pivotFmt>
        <c:idx val="684"/>
        <c:marker>
          <c:symbol val="none"/>
        </c:marker>
      </c:pivotFmt>
      <c:pivotFmt>
        <c:idx val="685"/>
        <c:marker>
          <c:symbol val="none"/>
        </c:marker>
      </c:pivotFmt>
      <c:pivotFmt>
        <c:idx val="686"/>
        <c:marker>
          <c:symbol val="none"/>
        </c:marker>
      </c:pivotFmt>
      <c:pivotFmt>
        <c:idx val="687"/>
        <c:marker>
          <c:symbol val="none"/>
        </c:marker>
      </c:pivotFmt>
      <c:pivotFmt>
        <c:idx val="688"/>
        <c:marker>
          <c:symbol val="none"/>
        </c:marker>
      </c:pivotFmt>
      <c:pivotFmt>
        <c:idx val="689"/>
        <c:marker>
          <c:symbol val="none"/>
        </c:marker>
      </c:pivotFmt>
      <c:pivotFmt>
        <c:idx val="690"/>
        <c:marker>
          <c:symbol val="none"/>
        </c:marker>
      </c:pivotFmt>
      <c:pivotFmt>
        <c:idx val="691"/>
        <c:marker>
          <c:symbol val="none"/>
        </c:marker>
      </c:pivotFmt>
      <c:pivotFmt>
        <c:idx val="692"/>
        <c:marker>
          <c:symbol val="none"/>
        </c:marker>
      </c:pivotFmt>
      <c:pivotFmt>
        <c:idx val="693"/>
        <c:marker>
          <c:symbol val="none"/>
        </c:marker>
      </c:pivotFmt>
      <c:pivotFmt>
        <c:idx val="694"/>
        <c:marker>
          <c:symbol val="none"/>
        </c:marker>
      </c:pivotFmt>
      <c:pivotFmt>
        <c:idx val="695"/>
        <c:marker>
          <c:symbol val="none"/>
        </c:marker>
      </c:pivotFmt>
      <c:pivotFmt>
        <c:idx val="696"/>
        <c:marker>
          <c:symbol val="none"/>
        </c:marker>
      </c:pivotFmt>
      <c:pivotFmt>
        <c:idx val="697"/>
        <c:marker>
          <c:symbol val="none"/>
        </c:marker>
      </c:pivotFmt>
      <c:pivotFmt>
        <c:idx val="698"/>
        <c:marker>
          <c:symbol val="none"/>
        </c:marker>
      </c:pivotFmt>
      <c:pivotFmt>
        <c:idx val="699"/>
        <c:marker>
          <c:symbol val="none"/>
        </c:marker>
      </c:pivotFmt>
      <c:pivotFmt>
        <c:idx val="700"/>
        <c:marker>
          <c:symbol val="none"/>
        </c:marker>
      </c:pivotFmt>
      <c:pivotFmt>
        <c:idx val="701"/>
        <c:marker>
          <c:symbol val="none"/>
        </c:marker>
      </c:pivotFmt>
      <c:pivotFmt>
        <c:idx val="702"/>
        <c:marker>
          <c:symbol val="none"/>
        </c:marker>
      </c:pivotFmt>
      <c:pivotFmt>
        <c:idx val="703"/>
        <c:marker>
          <c:symbol val="none"/>
        </c:marker>
      </c:pivotFmt>
      <c:pivotFmt>
        <c:idx val="704"/>
        <c:marker>
          <c:symbol val="none"/>
        </c:marker>
      </c:pivotFmt>
      <c:pivotFmt>
        <c:idx val="705"/>
        <c:marker>
          <c:symbol val="none"/>
        </c:marker>
      </c:pivotFmt>
      <c:pivotFmt>
        <c:idx val="706"/>
        <c:marker>
          <c:symbol val="none"/>
        </c:marker>
      </c:pivotFmt>
      <c:pivotFmt>
        <c:idx val="707"/>
        <c:marker>
          <c:symbol val="none"/>
        </c:marker>
      </c:pivotFmt>
      <c:pivotFmt>
        <c:idx val="708"/>
        <c:marker>
          <c:symbol val="none"/>
        </c:marker>
      </c:pivotFmt>
      <c:pivotFmt>
        <c:idx val="709"/>
        <c:marker>
          <c:symbol val="none"/>
        </c:marker>
      </c:pivotFmt>
    </c:pivotFmts>
    <c:plotArea>
      <c:layout/>
      <c:barChart>
        <c:barDir val="col"/>
        <c:grouping val="stacked"/>
        <c:varyColors val="0"/>
        <c:ser>
          <c:idx val="0"/>
          <c:order val="0"/>
          <c:tx>
            <c:strRef>
              <c:f>'comparators (2)'!$B$37</c:f>
              <c:strCache>
                <c:ptCount val="1"/>
                <c:pt idx="0">
                  <c:v>Sum of NHS Days</c:v>
                </c:pt>
              </c:strCache>
            </c:strRef>
          </c:tx>
          <c:invertIfNegative val="0"/>
          <c:cat>
            <c:multiLvlStrRef>
              <c:f>'comparators (2)'!$A$38:$A$54</c:f>
              <c:multiLvlStrCache>
                <c:ptCount val="12"/>
                <c:lvl>
                  <c:pt idx="0">
                    <c:v>JUNE</c:v>
                  </c:pt>
                  <c:pt idx="1">
                    <c:v>JULY</c:v>
                  </c:pt>
                  <c:pt idx="2">
                    <c:v>AUGUST</c:v>
                  </c:pt>
                  <c:pt idx="3">
                    <c:v>JUNE</c:v>
                  </c:pt>
                  <c:pt idx="4">
                    <c:v>JULY</c:v>
                  </c:pt>
                  <c:pt idx="5">
                    <c:v>AUGUST</c:v>
                  </c:pt>
                  <c:pt idx="6">
                    <c:v>JUNE</c:v>
                  </c:pt>
                  <c:pt idx="7">
                    <c:v>JULY</c:v>
                  </c:pt>
                  <c:pt idx="8">
                    <c:v>AUGUST</c:v>
                  </c:pt>
                  <c:pt idx="9">
                    <c:v>JUNE</c:v>
                  </c:pt>
                  <c:pt idx="10">
                    <c:v>JULY</c:v>
                  </c:pt>
                  <c:pt idx="11">
                    <c:v>AUGUST</c:v>
                  </c:pt>
                </c:lvl>
                <c:lvl>
                  <c:pt idx="0">
                    <c:v>A_COMPLETION_ASSESSMENT</c:v>
                  </c:pt>
                  <c:pt idx="3">
                    <c:v>DI_RESIDENTIAL_HOME</c:v>
                  </c:pt>
                  <c:pt idx="6">
                    <c:v>DII_NURSING_HOME</c:v>
                  </c:pt>
                  <c:pt idx="9">
                    <c:v>E_CARE_PACKAGE_IN_HOME</c:v>
                  </c:pt>
                </c:lvl>
              </c:multiLvlStrCache>
            </c:multiLvlStrRef>
          </c:cat>
          <c:val>
            <c:numRef>
              <c:f>'comparators (2)'!$B$38:$B$54</c:f>
              <c:numCache>
                <c:formatCode>General</c:formatCode>
                <c:ptCount val="12"/>
                <c:pt idx="0">
                  <c:v>360</c:v>
                </c:pt>
                <c:pt idx="1">
                  <c:v>307</c:v>
                </c:pt>
                <c:pt idx="2">
                  <c:v>446</c:v>
                </c:pt>
                <c:pt idx="3">
                  <c:v>91</c:v>
                </c:pt>
                <c:pt idx="4">
                  <c:v>93</c:v>
                </c:pt>
                <c:pt idx="5">
                  <c:v>99</c:v>
                </c:pt>
                <c:pt idx="6">
                  <c:v>152</c:v>
                </c:pt>
                <c:pt idx="7">
                  <c:v>110</c:v>
                </c:pt>
                <c:pt idx="8">
                  <c:v>212</c:v>
                </c:pt>
                <c:pt idx="9">
                  <c:v>20</c:v>
                </c:pt>
                <c:pt idx="10">
                  <c:v>43</c:v>
                </c:pt>
                <c:pt idx="11">
                  <c:v>58</c:v>
                </c:pt>
              </c:numCache>
            </c:numRef>
          </c:val>
        </c:ser>
        <c:ser>
          <c:idx val="1"/>
          <c:order val="1"/>
          <c:tx>
            <c:strRef>
              <c:f>'comparators (2)'!$C$37</c:f>
              <c:strCache>
                <c:ptCount val="1"/>
                <c:pt idx="0">
                  <c:v>Sum of Social Care Days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multiLvlStrRef>
              <c:f>'comparators (2)'!$A$38:$A$54</c:f>
              <c:multiLvlStrCache>
                <c:ptCount val="12"/>
                <c:lvl>
                  <c:pt idx="0">
                    <c:v>JUNE</c:v>
                  </c:pt>
                  <c:pt idx="1">
                    <c:v>JULY</c:v>
                  </c:pt>
                  <c:pt idx="2">
                    <c:v>AUGUST</c:v>
                  </c:pt>
                  <c:pt idx="3">
                    <c:v>JUNE</c:v>
                  </c:pt>
                  <c:pt idx="4">
                    <c:v>JULY</c:v>
                  </c:pt>
                  <c:pt idx="5">
                    <c:v>AUGUST</c:v>
                  </c:pt>
                  <c:pt idx="6">
                    <c:v>JUNE</c:v>
                  </c:pt>
                  <c:pt idx="7">
                    <c:v>JULY</c:v>
                  </c:pt>
                  <c:pt idx="8">
                    <c:v>AUGUST</c:v>
                  </c:pt>
                  <c:pt idx="9">
                    <c:v>JUNE</c:v>
                  </c:pt>
                  <c:pt idx="10">
                    <c:v>JULY</c:v>
                  </c:pt>
                  <c:pt idx="11">
                    <c:v>AUGUST</c:v>
                  </c:pt>
                </c:lvl>
                <c:lvl>
                  <c:pt idx="0">
                    <c:v>A_COMPLETION_ASSESSMENT</c:v>
                  </c:pt>
                  <c:pt idx="3">
                    <c:v>DI_RESIDENTIAL_HOME</c:v>
                  </c:pt>
                  <c:pt idx="6">
                    <c:v>DII_NURSING_HOME</c:v>
                  </c:pt>
                  <c:pt idx="9">
                    <c:v>E_CARE_PACKAGE_IN_HOME</c:v>
                  </c:pt>
                </c:lvl>
              </c:multiLvlStrCache>
            </c:multiLvlStrRef>
          </c:cat>
          <c:val>
            <c:numRef>
              <c:f>'comparators (2)'!$C$38:$C$54</c:f>
              <c:numCache>
                <c:formatCode>General</c:formatCode>
                <c:ptCount val="12"/>
                <c:pt idx="0">
                  <c:v>307</c:v>
                </c:pt>
                <c:pt idx="1">
                  <c:v>277</c:v>
                </c:pt>
                <c:pt idx="2">
                  <c:v>376</c:v>
                </c:pt>
                <c:pt idx="3">
                  <c:v>387</c:v>
                </c:pt>
                <c:pt idx="4">
                  <c:v>303</c:v>
                </c:pt>
                <c:pt idx="5">
                  <c:v>254</c:v>
                </c:pt>
                <c:pt idx="6">
                  <c:v>154</c:v>
                </c:pt>
                <c:pt idx="7">
                  <c:v>126</c:v>
                </c:pt>
                <c:pt idx="8">
                  <c:v>254</c:v>
                </c:pt>
                <c:pt idx="9">
                  <c:v>187</c:v>
                </c:pt>
                <c:pt idx="10">
                  <c:v>260</c:v>
                </c:pt>
                <c:pt idx="11">
                  <c:v>267</c:v>
                </c:pt>
              </c:numCache>
            </c:numRef>
          </c:val>
        </c:ser>
        <c:ser>
          <c:idx val="2"/>
          <c:order val="2"/>
          <c:tx>
            <c:strRef>
              <c:f>'comparators (2)'!$D$37</c:f>
              <c:strCache>
                <c:ptCount val="1"/>
                <c:pt idx="0">
                  <c:v>Sum of NHS and Social Care Days</c:v>
                </c:pt>
              </c:strCache>
            </c:strRef>
          </c:tx>
          <c:invertIfNegative val="0"/>
          <c:cat>
            <c:multiLvlStrRef>
              <c:f>'comparators (2)'!$A$38:$A$54</c:f>
              <c:multiLvlStrCache>
                <c:ptCount val="12"/>
                <c:lvl>
                  <c:pt idx="0">
                    <c:v>JUNE</c:v>
                  </c:pt>
                  <c:pt idx="1">
                    <c:v>JULY</c:v>
                  </c:pt>
                  <c:pt idx="2">
                    <c:v>AUGUST</c:v>
                  </c:pt>
                  <c:pt idx="3">
                    <c:v>JUNE</c:v>
                  </c:pt>
                  <c:pt idx="4">
                    <c:v>JULY</c:v>
                  </c:pt>
                  <c:pt idx="5">
                    <c:v>AUGUST</c:v>
                  </c:pt>
                  <c:pt idx="6">
                    <c:v>JUNE</c:v>
                  </c:pt>
                  <c:pt idx="7">
                    <c:v>JULY</c:v>
                  </c:pt>
                  <c:pt idx="8">
                    <c:v>AUGUST</c:v>
                  </c:pt>
                  <c:pt idx="9">
                    <c:v>JUNE</c:v>
                  </c:pt>
                  <c:pt idx="10">
                    <c:v>JULY</c:v>
                  </c:pt>
                  <c:pt idx="11">
                    <c:v>AUGUST</c:v>
                  </c:pt>
                </c:lvl>
                <c:lvl>
                  <c:pt idx="0">
                    <c:v>A_COMPLETION_ASSESSMENT</c:v>
                  </c:pt>
                  <c:pt idx="3">
                    <c:v>DI_RESIDENTIAL_HOME</c:v>
                  </c:pt>
                  <c:pt idx="6">
                    <c:v>DII_NURSING_HOME</c:v>
                  </c:pt>
                  <c:pt idx="9">
                    <c:v>E_CARE_PACKAGE_IN_HOME</c:v>
                  </c:pt>
                </c:lvl>
              </c:multiLvlStrCache>
            </c:multiLvlStrRef>
          </c:cat>
          <c:val>
            <c:numRef>
              <c:f>'comparators (2)'!$D$38:$D$54</c:f>
              <c:numCache>
                <c:formatCode>General</c:formatCode>
                <c:ptCount val="12"/>
                <c:pt idx="0">
                  <c:v>37</c:v>
                </c:pt>
                <c:pt idx="1">
                  <c:v>25</c:v>
                </c:pt>
                <c:pt idx="2">
                  <c:v>26</c:v>
                </c:pt>
                <c:pt idx="3">
                  <c:v>0</c:v>
                </c:pt>
                <c:pt idx="4">
                  <c:v>0</c:v>
                </c:pt>
                <c:pt idx="5">
                  <c:v>0</c:v>
                </c:pt>
                <c:pt idx="6">
                  <c:v>51</c:v>
                </c:pt>
                <c:pt idx="7">
                  <c:v>64</c:v>
                </c:pt>
                <c:pt idx="8">
                  <c:v>66</c:v>
                </c:pt>
                <c:pt idx="9">
                  <c:v>6</c:v>
                </c:pt>
                <c:pt idx="10">
                  <c:v>19</c:v>
                </c:pt>
                <c:pt idx="11">
                  <c:v>12</c:v>
                </c:pt>
              </c:numCache>
            </c:numRef>
          </c:val>
        </c:ser>
        <c:dLbls>
          <c:showLegendKey val="0"/>
          <c:showVal val="0"/>
          <c:showCatName val="0"/>
          <c:showSerName val="0"/>
          <c:showPercent val="0"/>
          <c:showBubbleSize val="0"/>
        </c:dLbls>
        <c:gapWidth val="150"/>
        <c:overlap val="100"/>
        <c:axId val="344005720"/>
        <c:axId val="344006112"/>
      </c:barChart>
      <c:catAx>
        <c:axId val="344005720"/>
        <c:scaling>
          <c:orientation val="minMax"/>
        </c:scaling>
        <c:delete val="0"/>
        <c:axPos val="b"/>
        <c:numFmt formatCode="General" sourceLinked="0"/>
        <c:majorTickMark val="out"/>
        <c:minorTickMark val="none"/>
        <c:tickLblPos val="nextTo"/>
        <c:txPr>
          <a:bodyPr/>
          <a:lstStyle/>
          <a:p>
            <a:pPr>
              <a:defRPr sz="800" baseline="0"/>
            </a:pPr>
            <a:endParaRPr lang="en-US"/>
          </a:p>
        </c:txPr>
        <c:crossAx val="344006112"/>
        <c:crosses val="autoZero"/>
        <c:auto val="1"/>
        <c:lblAlgn val="ctr"/>
        <c:lblOffset val="100"/>
        <c:noMultiLvlLbl val="0"/>
      </c:catAx>
      <c:valAx>
        <c:axId val="344006112"/>
        <c:scaling>
          <c:orientation val="minMax"/>
        </c:scaling>
        <c:delete val="0"/>
        <c:axPos val="l"/>
        <c:majorGridlines/>
        <c:numFmt formatCode="General" sourceLinked="1"/>
        <c:majorTickMark val="out"/>
        <c:minorTickMark val="none"/>
        <c:tickLblPos val="nextTo"/>
        <c:crossAx val="344005720"/>
        <c:crosses val="autoZero"/>
        <c:crossBetween val="between"/>
      </c:valAx>
    </c:plotArea>
    <c:legend>
      <c:legendPos val="b"/>
      <c:layout/>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[DTOC 2016_17 to 2018_19 revised1.xlsx]comparators (2)!PivotTable2</c:name>
    <c:fmtId val="879"/>
  </c:pivotSource>
  <c:chart>
    <c:title>
      <c:tx>
        <c:rich>
          <a:bodyPr/>
          <a:lstStyle/>
          <a:p>
            <a:pPr>
              <a:defRPr/>
            </a:pPr>
            <a:r>
              <a:rPr lang="en-GB" sz="1200" b="1" i="0" baseline="0">
                <a:effectLst/>
              </a:rPr>
              <a:t>Apr-17 to  Aug-18 major social care reasons - Lancashire </a:t>
            </a:r>
            <a:endParaRPr lang="en-GB" sz="1200">
              <a:effectLst/>
            </a:endParaRPr>
          </a:p>
        </c:rich>
      </c:tx>
      <c:layout>
        <c:manualLayout>
          <c:xMode val="edge"/>
          <c:yMode val="edge"/>
          <c:x val="0.19651849782635264"/>
          <c:y val="2.2293911814452963E-2"/>
        </c:manualLayout>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pivotFmt>
      <c:pivotFmt>
        <c:idx val="61"/>
        <c:marker>
          <c:symbol val="none"/>
        </c:marker>
      </c:pivotFmt>
      <c:pivotFmt>
        <c:idx val="62"/>
        <c:marker>
          <c:symbol val="none"/>
        </c:marker>
      </c:pivotFmt>
      <c:pivotFmt>
        <c:idx val="63"/>
        <c:marker>
          <c:symbol val="none"/>
        </c:marker>
      </c:pivotFmt>
      <c:pivotFmt>
        <c:idx val="64"/>
        <c:marker>
          <c:symbol val="none"/>
        </c:marker>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pivotFmt>
      <c:pivotFmt>
        <c:idx val="76"/>
        <c:marker>
          <c:symbol val="none"/>
        </c:marker>
      </c:pivotFmt>
      <c:pivotFmt>
        <c:idx val="77"/>
        <c:marker>
          <c:symbol val="none"/>
        </c:marker>
      </c:pivotFmt>
      <c:pivotFmt>
        <c:idx val="78"/>
        <c:marker>
          <c:symbol val="none"/>
        </c:marker>
      </c:pivotFmt>
      <c:pivotFmt>
        <c:idx val="79"/>
        <c:marker>
          <c:symbol val="none"/>
        </c:marker>
      </c:pivotFmt>
      <c:pivotFmt>
        <c:idx val="80"/>
        <c:marker>
          <c:symbol val="none"/>
        </c:marker>
      </c:pivotFmt>
      <c:pivotFmt>
        <c:idx val="81"/>
        <c:marker>
          <c:symbol val="none"/>
        </c:marker>
      </c:pivotFmt>
      <c:pivotFmt>
        <c:idx val="82"/>
        <c:marker>
          <c:symbol val="none"/>
        </c:marker>
      </c:pivotFmt>
      <c:pivotFmt>
        <c:idx val="83"/>
        <c:marker>
          <c:symbol val="none"/>
        </c:marker>
      </c:pivotFmt>
      <c:pivotFmt>
        <c:idx val="84"/>
        <c:marker>
          <c:symbol val="none"/>
        </c:marker>
      </c:pivotFmt>
      <c:pivotFmt>
        <c:idx val="85"/>
        <c:marker>
          <c:symbol val="none"/>
        </c:marker>
      </c:pivotFmt>
      <c:pivotFmt>
        <c:idx val="86"/>
        <c:marker>
          <c:symbol val="none"/>
        </c:marker>
      </c:pivotFmt>
      <c:pivotFmt>
        <c:idx val="87"/>
        <c:marker>
          <c:symbol val="none"/>
        </c:marker>
      </c:pivotFmt>
      <c:pivotFmt>
        <c:idx val="88"/>
        <c:marker>
          <c:symbol val="none"/>
        </c:marker>
      </c:pivotFmt>
      <c:pivotFmt>
        <c:idx val="89"/>
        <c:marker>
          <c:symbol val="none"/>
        </c:marker>
      </c:pivotFmt>
      <c:pivotFmt>
        <c:idx val="90"/>
        <c:marker>
          <c:symbol val="none"/>
        </c:marker>
      </c:pivotFmt>
      <c:pivotFmt>
        <c:idx val="91"/>
        <c:marker>
          <c:symbol val="none"/>
        </c:marker>
      </c:pivotFmt>
      <c:pivotFmt>
        <c:idx val="92"/>
        <c:marker>
          <c:symbol val="none"/>
        </c:marker>
      </c:pivotFmt>
      <c:pivotFmt>
        <c:idx val="93"/>
        <c:marker>
          <c:symbol val="none"/>
        </c:marker>
      </c:pivotFmt>
      <c:pivotFmt>
        <c:idx val="94"/>
        <c:marker>
          <c:symbol val="none"/>
        </c:marker>
      </c:pivotFmt>
      <c:pivotFmt>
        <c:idx val="95"/>
        <c:marker>
          <c:symbol val="none"/>
        </c:marker>
      </c:pivotFmt>
      <c:pivotFmt>
        <c:idx val="96"/>
        <c:marker>
          <c:symbol val="none"/>
        </c:marker>
      </c:pivotFmt>
      <c:pivotFmt>
        <c:idx val="97"/>
        <c:marker>
          <c:symbol val="none"/>
        </c:marker>
      </c:pivotFmt>
      <c:pivotFmt>
        <c:idx val="98"/>
        <c:marker>
          <c:symbol val="none"/>
        </c:marker>
      </c:pivotFmt>
      <c:pivotFmt>
        <c:idx val="99"/>
        <c:marker>
          <c:symbol val="none"/>
        </c:marker>
      </c:pivotFmt>
      <c:pivotFmt>
        <c:idx val="100"/>
        <c:marker>
          <c:symbol val="none"/>
        </c:marker>
      </c:pivotFmt>
      <c:pivotFmt>
        <c:idx val="101"/>
      </c:pivotFmt>
      <c:pivotFmt>
        <c:idx val="102"/>
        <c:marker>
          <c:symbol val="none"/>
        </c:marker>
      </c:pivotFmt>
      <c:pivotFmt>
        <c:idx val="103"/>
        <c:marker>
          <c:symbol val="none"/>
        </c:marker>
      </c:pivotFmt>
      <c:pivotFmt>
        <c:idx val="104"/>
        <c:marker>
          <c:symbol val="none"/>
        </c:marker>
      </c:pivotFmt>
      <c:pivotFmt>
        <c:idx val="105"/>
      </c:pivotFmt>
      <c:pivotFmt>
        <c:idx val="106"/>
      </c:pivotFmt>
      <c:pivotFmt>
        <c:idx val="107"/>
      </c:pivotFmt>
      <c:pivotFmt>
        <c:idx val="108"/>
      </c:pivotFmt>
      <c:pivotFmt>
        <c:idx val="109"/>
      </c:pivotFmt>
      <c:pivotFmt>
        <c:idx val="110"/>
      </c:pivotFmt>
      <c:pivotFmt>
        <c:idx val="111"/>
      </c:pivotFmt>
      <c:pivotFmt>
        <c:idx val="112"/>
      </c:pivotFmt>
      <c:pivotFmt>
        <c:idx val="113"/>
      </c:pivotFmt>
      <c:pivotFmt>
        <c:idx val="114"/>
      </c:pivotFmt>
      <c:pivotFmt>
        <c:idx val="115"/>
      </c:pivotFmt>
      <c:pivotFmt>
        <c:idx val="116"/>
      </c:pivotFmt>
      <c:pivotFmt>
        <c:idx val="117"/>
      </c:pivotFmt>
      <c:pivotFmt>
        <c:idx val="118"/>
      </c:pivotFmt>
      <c:pivotFmt>
        <c:idx val="119"/>
      </c:pivotFmt>
      <c:pivotFmt>
        <c:idx val="120"/>
      </c:pivotFmt>
      <c:pivotFmt>
        <c:idx val="121"/>
      </c:pivotFmt>
      <c:pivotFmt>
        <c:idx val="122"/>
      </c:pivotFmt>
      <c:pivotFmt>
        <c:idx val="123"/>
        <c:marker>
          <c:symbol val="none"/>
        </c:marker>
      </c:pivotFmt>
      <c:pivotFmt>
        <c:idx val="124"/>
        <c:marker>
          <c:symbol val="none"/>
        </c:marker>
      </c:pivotFmt>
      <c:pivotFmt>
        <c:idx val="125"/>
        <c:marker>
          <c:symbol val="none"/>
        </c:marker>
      </c:pivotFmt>
      <c:pivotFmt>
        <c:idx val="126"/>
        <c:marker>
          <c:symbol val="none"/>
        </c:marker>
      </c:pivotFmt>
      <c:pivotFmt>
        <c:idx val="127"/>
        <c:marker>
          <c:symbol val="none"/>
        </c:marker>
      </c:pivotFmt>
      <c:pivotFmt>
        <c:idx val="128"/>
        <c:marker>
          <c:symbol val="none"/>
        </c:marker>
      </c:pivotFmt>
      <c:pivotFmt>
        <c:idx val="129"/>
        <c:marker>
          <c:symbol val="none"/>
        </c:marker>
      </c:pivotFmt>
      <c:pivotFmt>
        <c:idx val="130"/>
        <c:marker>
          <c:symbol val="none"/>
        </c:marker>
      </c:pivotFmt>
      <c:pivotFmt>
        <c:idx val="131"/>
        <c:marker>
          <c:symbol val="none"/>
        </c:marker>
      </c:pivotFmt>
      <c:pivotFmt>
        <c:idx val="132"/>
        <c:marker>
          <c:symbol val="none"/>
        </c:marker>
      </c:pivotFmt>
      <c:pivotFmt>
        <c:idx val="133"/>
        <c:marker>
          <c:symbol val="none"/>
        </c:marker>
      </c:pivotFmt>
      <c:pivotFmt>
        <c:idx val="134"/>
        <c:marker>
          <c:symbol val="none"/>
        </c:marker>
      </c:pivotFmt>
      <c:pivotFmt>
        <c:idx val="135"/>
        <c:marker>
          <c:symbol val="none"/>
        </c:marker>
      </c:pivotFmt>
      <c:pivotFmt>
        <c:idx val="136"/>
        <c:marker>
          <c:symbol val="none"/>
        </c:marker>
      </c:pivotFmt>
      <c:pivotFmt>
        <c:idx val="137"/>
        <c:marker>
          <c:symbol val="none"/>
        </c:marker>
      </c:pivotFmt>
      <c:pivotFmt>
        <c:idx val="138"/>
        <c:marker>
          <c:symbol val="none"/>
        </c:marker>
      </c:pivotFmt>
      <c:pivotFmt>
        <c:idx val="139"/>
        <c:marker>
          <c:symbol val="none"/>
        </c:marker>
      </c:pivotFmt>
      <c:pivotFmt>
        <c:idx val="140"/>
        <c:marker>
          <c:symbol val="none"/>
        </c:marker>
      </c:pivotFmt>
      <c:pivotFmt>
        <c:idx val="141"/>
        <c:marker>
          <c:symbol val="none"/>
        </c:marker>
      </c:pivotFmt>
      <c:pivotFmt>
        <c:idx val="142"/>
        <c:marker>
          <c:symbol val="none"/>
        </c:marker>
      </c:pivotFmt>
      <c:pivotFmt>
        <c:idx val="143"/>
        <c:marker>
          <c:symbol val="none"/>
        </c:marker>
      </c:pivotFmt>
      <c:pivotFmt>
        <c:idx val="144"/>
        <c:marker>
          <c:symbol val="none"/>
        </c:marker>
      </c:pivotFmt>
      <c:pivotFmt>
        <c:idx val="145"/>
        <c:marker>
          <c:symbol val="none"/>
        </c:marker>
      </c:pivotFmt>
      <c:pivotFmt>
        <c:idx val="146"/>
        <c:marker>
          <c:symbol val="none"/>
        </c:marker>
      </c:pivotFmt>
      <c:pivotFmt>
        <c:idx val="147"/>
        <c:marker>
          <c:symbol val="none"/>
        </c:marker>
      </c:pivotFmt>
      <c:pivotFmt>
        <c:idx val="148"/>
        <c:marker>
          <c:symbol val="none"/>
        </c:marker>
      </c:pivotFmt>
      <c:pivotFmt>
        <c:idx val="149"/>
        <c:marker>
          <c:symbol val="none"/>
        </c:marker>
      </c:pivotFmt>
      <c:pivotFmt>
        <c:idx val="150"/>
        <c:marker>
          <c:symbol val="none"/>
        </c:marker>
      </c:pivotFmt>
      <c:pivotFmt>
        <c:idx val="151"/>
        <c:marker>
          <c:symbol val="none"/>
        </c:marker>
      </c:pivotFmt>
      <c:pivotFmt>
        <c:idx val="152"/>
        <c:marker>
          <c:symbol val="none"/>
        </c:marker>
      </c:pivotFmt>
      <c:pivotFmt>
        <c:idx val="153"/>
        <c:marker>
          <c:symbol val="none"/>
        </c:marker>
      </c:pivotFmt>
      <c:pivotFmt>
        <c:idx val="154"/>
        <c:marker>
          <c:symbol val="none"/>
        </c:marker>
      </c:pivotFmt>
      <c:pivotFmt>
        <c:idx val="155"/>
        <c:marker>
          <c:symbol val="none"/>
        </c:marker>
      </c:pivotFmt>
      <c:pivotFmt>
        <c:idx val="156"/>
        <c:marker>
          <c:symbol val="none"/>
        </c:marker>
      </c:pivotFmt>
      <c:pivotFmt>
        <c:idx val="157"/>
        <c:marker>
          <c:symbol val="none"/>
        </c:marker>
      </c:pivotFmt>
      <c:pivotFmt>
        <c:idx val="158"/>
        <c:marker>
          <c:symbol val="none"/>
        </c:marker>
      </c:pivotFmt>
      <c:pivotFmt>
        <c:idx val="159"/>
        <c:marker>
          <c:symbol val="none"/>
        </c:marker>
      </c:pivotFmt>
      <c:pivotFmt>
        <c:idx val="160"/>
        <c:marker>
          <c:symbol val="none"/>
        </c:marker>
      </c:pivotFmt>
      <c:pivotFmt>
        <c:idx val="161"/>
        <c:marker>
          <c:symbol val="none"/>
        </c:marker>
      </c:pivotFmt>
      <c:pivotFmt>
        <c:idx val="162"/>
        <c:marker>
          <c:symbol val="none"/>
        </c:marker>
      </c:pivotFmt>
      <c:pivotFmt>
        <c:idx val="163"/>
        <c:marker>
          <c:symbol val="none"/>
        </c:marker>
      </c:pivotFmt>
      <c:pivotFmt>
        <c:idx val="164"/>
        <c:marker>
          <c:symbol val="none"/>
        </c:marker>
      </c:pivotFmt>
      <c:pivotFmt>
        <c:idx val="165"/>
        <c:marker>
          <c:symbol val="none"/>
        </c:marker>
      </c:pivotFmt>
      <c:pivotFmt>
        <c:idx val="166"/>
        <c:marker>
          <c:symbol val="none"/>
        </c:marker>
      </c:pivotFmt>
      <c:pivotFmt>
        <c:idx val="167"/>
        <c:marker>
          <c:symbol val="none"/>
        </c:marker>
      </c:pivotFmt>
      <c:pivotFmt>
        <c:idx val="168"/>
        <c:marker>
          <c:symbol val="none"/>
        </c:marker>
      </c:pivotFmt>
      <c:pivotFmt>
        <c:idx val="169"/>
        <c:marker>
          <c:symbol val="none"/>
        </c:marker>
      </c:pivotFmt>
      <c:pivotFmt>
        <c:idx val="170"/>
        <c:marker>
          <c:symbol val="none"/>
        </c:marker>
      </c:pivotFmt>
      <c:pivotFmt>
        <c:idx val="171"/>
        <c:marker>
          <c:symbol val="none"/>
        </c:marker>
      </c:pivotFmt>
      <c:pivotFmt>
        <c:idx val="172"/>
        <c:marker>
          <c:symbol val="none"/>
        </c:marker>
      </c:pivotFmt>
      <c:pivotFmt>
        <c:idx val="173"/>
        <c:marker>
          <c:symbol val="none"/>
        </c:marker>
      </c:pivotFmt>
      <c:pivotFmt>
        <c:idx val="174"/>
        <c:marker>
          <c:symbol val="none"/>
        </c:marker>
      </c:pivotFmt>
      <c:pivotFmt>
        <c:idx val="175"/>
        <c:marker>
          <c:symbol val="none"/>
        </c:marker>
      </c:pivotFmt>
      <c:pivotFmt>
        <c:idx val="176"/>
        <c:marker>
          <c:symbol val="none"/>
        </c:marker>
      </c:pivotFmt>
      <c:pivotFmt>
        <c:idx val="177"/>
        <c:marker>
          <c:symbol val="none"/>
        </c:marker>
      </c:pivotFmt>
      <c:pivotFmt>
        <c:idx val="178"/>
        <c:marker>
          <c:symbol val="none"/>
        </c:marker>
      </c:pivotFmt>
      <c:pivotFmt>
        <c:idx val="179"/>
        <c:marker>
          <c:symbol val="none"/>
        </c:marker>
      </c:pivotFmt>
      <c:pivotFmt>
        <c:idx val="180"/>
        <c:marker>
          <c:symbol val="none"/>
        </c:marker>
      </c:pivotFmt>
      <c:pivotFmt>
        <c:idx val="181"/>
        <c:marker>
          <c:symbol val="none"/>
        </c:marker>
      </c:pivotFmt>
      <c:pivotFmt>
        <c:idx val="182"/>
        <c:marker>
          <c:symbol val="none"/>
        </c:marker>
      </c:pivotFmt>
      <c:pivotFmt>
        <c:idx val="183"/>
        <c:marker>
          <c:symbol val="none"/>
        </c:marker>
      </c:pivotFmt>
      <c:pivotFmt>
        <c:idx val="184"/>
        <c:marker>
          <c:symbol val="none"/>
        </c:marker>
      </c:pivotFmt>
      <c:pivotFmt>
        <c:idx val="185"/>
        <c:marker>
          <c:symbol val="none"/>
        </c:marker>
      </c:pivotFmt>
      <c:pivotFmt>
        <c:idx val="186"/>
        <c:marker>
          <c:symbol val="none"/>
        </c:marker>
      </c:pivotFmt>
      <c:pivotFmt>
        <c:idx val="187"/>
        <c:marker>
          <c:symbol val="none"/>
        </c:marker>
      </c:pivotFmt>
      <c:pivotFmt>
        <c:idx val="188"/>
        <c:marker>
          <c:symbol val="none"/>
        </c:marker>
      </c:pivotFmt>
      <c:pivotFmt>
        <c:idx val="189"/>
        <c:marker>
          <c:symbol val="none"/>
        </c:marker>
      </c:pivotFmt>
      <c:pivotFmt>
        <c:idx val="190"/>
        <c:marker>
          <c:symbol val="none"/>
        </c:marker>
      </c:pivotFmt>
      <c:pivotFmt>
        <c:idx val="191"/>
        <c:marker>
          <c:symbol val="none"/>
        </c:marker>
      </c:pivotFmt>
      <c:pivotFmt>
        <c:idx val="192"/>
        <c:marker>
          <c:symbol val="none"/>
        </c:marker>
      </c:pivotFmt>
      <c:pivotFmt>
        <c:idx val="193"/>
        <c:marker>
          <c:symbol val="none"/>
        </c:marker>
      </c:pivotFmt>
      <c:pivotFmt>
        <c:idx val="194"/>
        <c:marker>
          <c:symbol val="none"/>
        </c:marker>
      </c:pivotFmt>
      <c:pivotFmt>
        <c:idx val="195"/>
        <c:marker>
          <c:symbol val="none"/>
        </c:marker>
      </c:pivotFmt>
      <c:pivotFmt>
        <c:idx val="196"/>
        <c:marker>
          <c:symbol val="none"/>
        </c:marker>
      </c:pivotFmt>
      <c:pivotFmt>
        <c:idx val="197"/>
        <c:marker>
          <c:symbol val="none"/>
        </c:marker>
      </c:pivotFmt>
      <c:pivotFmt>
        <c:idx val="198"/>
        <c:marker>
          <c:symbol val="none"/>
        </c:marker>
      </c:pivotFmt>
      <c:pivotFmt>
        <c:idx val="199"/>
        <c:marker>
          <c:symbol val="none"/>
        </c:marker>
      </c:pivotFmt>
      <c:pivotFmt>
        <c:idx val="200"/>
        <c:marker>
          <c:symbol val="none"/>
        </c:marker>
      </c:pivotFmt>
      <c:pivotFmt>
        <c:idx val="201"/>
        <c:marker>
          <c:symbol val="none"/>
        </c:marker>
      </c:pivotFmt>
      <c:pivotFmt>
        <c:idx val="202"/>
        <c:marker>
          <c:symbol val="none"/>
        </c:marker>
      </c:pivotFmt>
      <c:pivotFmt>
        <c:idx val="203"/>
        <c:marker>
          <c:symbol val="none"/>
        </c:marker>
      </c:pivotFmt>
      <c:pivotFmt>
        <c:idx val="204"/>
        <c:marker>
          <c:symbol val="none"/>
        </c:marker>
      </c:pivotFmt>
      <c:pivotFmt>
        <c:idx val="205"/>
        <c:marker>
          <c:symbol val="none"/>
        </c:marker>
      </c:pivotFmt>
      <c:pivotFmt>
        <c:idx val="206"/>
        <c:marker>
          <c:symbol val="none"/>
        </c:marker>
      </c:pivotFmt>
      <c:pivotFmt>
        <c:idx val="207"/>
        <c:marker>
          <c:symbol val="none"/>
        </c:marker>
      </c:pivotFmt>
      <c:pivotFmt>
        <c:idx val="208"/>
        <c:marker>
          <c:symbol val="none"/>
        </c:marker>
      </c:pivotFmt>
      <c:pivotFmt>
        <c:idx val="209"/>
        <c:marker>
          <c:symbol val="none"/>
        </c:marker>
      </c:pivotFmt>
      <c:pivotFmt>
        <c:idx val="210"/>
        <c:marker>
          <c:symbol val="none"/>
        </c:marker>
      </c:pivotFmt>
      <c:pivotFmt>
        <c:idx val="211"/>
        <c:marker>
          <c:symbol val="none"/>
        </c:marker>
      </c:pivotFmt>
      <c:pivotFmt>
        <c:idx val="212"/>
        <c:marker>
          <c:symbol val="none"/>
        </c:marker>
      </c:pivotFmt>
      <c:pivotFmt>
        <c:idx val="213"/>
        <c:marker>
          <c:symbol val="none"/>
        </c:marker>
      </c:pivotFmt>
      <c:pivotFmt>
        <c:idx val="214"/>
        <c:marker>
          <c:symbol val="none"/>
        </c:marker>
      </c:pivotFmt>
      <c:pivotFmt>
        <c:idx val="215"/>
        <c:marker>
          <c:symbol val="none"/>
        </c:marker>
      </c:pivotFmt>
      <c:pivotFmt>
        <c:idx val="216"/>
        <c:marker>
          <c:symbol val="none"/>
        </c:marker>
      </c:pivotFmt>
      <c:pivotFmt>
        <c:idx val="217"/>
        <c:marker>
          <c:symbol val="none"/>
        </c:marker>
      </c:pivotFmt>
      <c:pivotFmt>
        <c:idx val="218"/>
        <c:marker>
          <c:symbol val="none"/>
        </c:marker>
      </c:pivotFmt>
      <c:pivotFmt>
        <c:idx val="219"/>
        <c:marker>
          <c:symbol val="none"/>
        </c:marker>
      </c:pivotFmt>
      <c:pivotFmt>
        <c:idx val="220"/>
        <c:marker>
          <c:symbol val="none"/>
        </c:marker>
      </c:pivotFmt>
      <c:pivotFmt>
        <c:idx val="221"/>
        <c:marker>
          <c:symbol val="none"/>
        </c:marker>
      </c:pivotFmt>
      <c:pivotFmt>
        <c:idx val="222"/>
        <c:marker>
          <c:symbol val="none"/>
        </c:marker>
      </c:pivotFmt>
      <c:pivotFmt>
        <c:idx val="223"/>
        <c:marker>
          <c:symbol val="none"/>
        </c:marker>
      </c:pivotFmt>
      <c:pivotFmt>
        <c:idx val="224"/>
        <c:marker>
          <c:symbol val="none"/>
        </c:marker>
      </c:pivotFmt>
      <c:pivotFmt>
        <c:idx val="225"/>
        <c:marker>
          <c:symbol val="none"/>
        </c:marker>
      </c:pivotFmt>
      <c:pivotFmt>
        <c:idx val="226"/>
        <c:marker>
          <c:symbol val="none"/>
        </c:marker>
      </c:pivotFmt>
      <c:pivotFmt>
        <c:idx val="227"/>
        <c:marker>
          <c:symbol val="none"/>
        </c:marker>
      </c:pivotFmt>
      <c:pivotFmt>
        <c:idx val="228"/>
        <c:marker>
          <c:symbol val="none"/>
        </c:marker>
      </c:pivotFmt>
      <c:pivotFmt>
        <c:idx val="229"/>
        <c:marker>
          <c:symbol val="none"/>
        </c:marker>
      </c:pivotFmt>
      <c:pivotFmt>
        <c:idx val="230"/>
        <c:marker>
          <c:symbol val="none"/>
        </c:marker>
      </c:pivotFmt>
      <c:pivotFmt>
        <c:idx val="231"/>
        <c:marker>
          <c:symbol val="none"/>
        </c:marker>
      </c:pivotFmt>
      <c:pivotFmt>
        <c:idx val="232"/>
        <c:marker>
          <c:symbol val="none"/>
        </c:marker>
      </c:pivotFmt>
      <c:pivotFmt>
        <c:idx val="233"/>
        <c:marker>
          <c:symbol val="none"/>
        </c:marker>
      </c:pivotFmt>
      <c:pivotFmt>
        <c:idx val="234"/>
        <c:marker>
          <c:symbol val="none"/>
        </c:marker>
      </c:pivotFmt>
      <c:pivotFmt>
        <c:idx val="235"/>
        <c:marker>
          <c:symbol val="none"/>
        </c:marker>
      </c:pivotFmt>
      <c:pivotFmt>
        <c:idx val="236"/>
        <c:marker>
          <c:symbol val="none"/>
        </c:marker>
      </c:pivotFmt>
      <c:pivotFmt>
        <c:idx val="237"/>
        <c:marker>
          <c:symbol val="none"/>
        </c:marker>
      </c:pivotFmt>
      <c:pivotFmt>
        <c:idx val="238"/>
        <c:marker>
          <c:symbol val="none"/>
        </c:marker>
      </c:pivotFmt>
      <c:pivotFmt>
        <c:idx val="239"/>
        <c:marker>
          <c:symbol val="none"/>
        </c:marker>
      </c:pivotFmt>
      <c:pivotFmt>
        <c:idx val="240"/>
        <c:marker>
          <c:symbol val="none"/>
        </c:marker>
      </c:pivotFmt>
      <c:pivotFmt>
        <c:idx val="241"/>
        <c:marker>
          <c:symbol val="none"/>
        </c:marker>
      </c:pivotFmt>
      <c:pivotFmt>
        <c:idx val="242"/>
        <c:marker>
          <c:symbol val="none"/>
        </c:marker>
      </c:pivotFmt>
      <c:pivotFmt>
        <c:idx val="243"/>
        <c:marker>
          <c:symbol val="none"/>
        </c:marker>
      </c:pivotFmt>
      <c:pivotFmt>
        <c:idx val="244"/>
        <c:marker>
          <c:symbol val="none"/>
        </c:marker>
      </c:pivotFmt>
      <c:pivotFmt>
        <c:idx val="245"/>
        <c:marker>
          <c:symbol val="none"/>
        </c:marker>
      </c:pivotFmt>
      <c:pivotFmt>
        <c:idx val="246"/>
        <c:marker>
          <c:symbol val="none"/>
        </c:marker>
      </c:pivotFmt>
      <c:pivotFmt>
        <c:idx val="247"/>
        <c:marker>
          <c:symbol val="none"/>
        </c:marker>
      </c:pivotFmt>
      <c:pivotFmt>
        <c:idx val="248"/>
        <c:marker>
          <c:symbol val="none"/>
        </c:marker>
      </c:pivotFmt>
      <c:pivotFmt>
        <c:idx val="249"/>
        <c:marker>
          <c:symbol val="none"/>
        </c:marker>
      </c:pivotFmt>
      <c:pivotFmt>
        <c:idx val="250"/>
        <c:marker>
          <c:symbol val="none"/>
        </c:marker>
      </c:pivotFmt>
      <c:pivotFmt>
        <c:idx val="251"/>
        <c:marker>
          <c:symbol val="none"/>
        </c:marker>
      </c:pivotFmt>
      <c:pivotFmt>
        <c:idx val="252"/>
        <c:marker>
          <c:symbol val="none"/>
        </c:marker>
      </c:pivotFmt>
      <c:pivotFmt>
        <c:idx val="253"/>
        <c:marker>
          <c:symbol val="none"/>
        </c:marker>
      </c:pivotFmt>
      <c:pivotFmt>
        <c:idx val="254"/>
        <c:marker>
          <c:symbol val="none"/>
        </c:marker>
      </c:pivotFmt>
      <c:pivotFmt>
        <c:idx val="255"/>
        <c:marker>
          <c:symbol val="none"/>
        </c:marker>
      </c:pivotFmt>
      <c:pivotFmt>
        <c:idx val="256"/>
        <c:marker>
          <c:symbol val="none"/>
        </c:marker>
      </c:pivotFmt>
      <c:pivotFmt>
        <c:idx val="257"/>
        <c:marker>
          <c:symbol val="none"/>
        </c:marker>
      </c:pivotFmt>
      <c:pivotFmt>
        <c:idx val="258"/>
        <c:marker>
          <c:symbol val="none"/>
        </c:marker>
      </c:pivotFmt>
      <c:pivotFmt>
        <c:idx val="259"/>
        <c:marker>
          <c:symbol val="none"/>
        </c:marker>
      </c:pivotFmt>
      <c:pivotFmt>
        <c:idx val="260"/>
        <c:marker>
          <c:symbol val="none"/>
        </c:marker>
      </c:pivotFmt>
      <c:pivotFmt>
        <c:idx val="261"/>
        <c:marker>
          <c:symbol val="none"/>
        </c:marker>
      </c:pivotFmt>
      <c:pivotFmt>
        <c:idx val="262"/>
        <c:marker>
          <c:symbol val="none"/>
        </c:marker>
      </c:pivotFmt>
      <c:pivotFmt>
        <c:idx val="263"/>
        <c:marker>
          <c:symbol val="none"/>
        </c:marker>
      </c:pivotFmt>
      <c:pivotFmt>
        <c:idx val="264"/>
        <c:marker>
          <c:symbol val="none"/>
        </c:marker>
      </c:pivotFmt>
      <c:pivotFmt>
        <c:idx val="265"/>
        <c:marker>
          <c:symbol val="none"/>
        </c:marker>
      </c:pivotFmt>
      <c:pivotFmt>
        <c:idx val="266"/>
        <c:marker>
          <c:symbol val="none"/>
        </c:marker>
      </c:pivotFmt>
      <c:pivotFmt>
        <c:idx val="267"/>
        <c:marker>
          <c:symbol val="none"/>
        </c:marker>
      </c:pivotFmt>
      <c:pivotFmt>
        <c:idx val="268"/>
        <c:marker>
          <c:symbol val="none"/>
        </c:marker>
      </c:pivotFmt>
      <c:pivotFmt>
        <c:idx val="269"/>
        <c:marker>
          <c:symbol val="none"/>
        </c:marker>
      </c:pivotFmt>
      <c:pivotFmt>
        <c:idx val="270"/>
        <c:marker>
          <c:symbol val="none"/>
        </c:marker>
      </c:pivotFmt>
      <c:pivotFmt>
        <c:idx val="271"/>
        <c:marker>
          <c:symbol val="none"/>
        </c:marker>
      </c:pivotFmt>
      <c:pivotFmt>
        <c:idx val="272"/>
        <c:marker>
          <c:symbol val="none"/>
        </c:marker>
      </c:pivotFmt>
      <c:pivotFmt>
        <c:idx val="273"/>
        <c:marker>
          <c:symbol val="none"/>
        </c:marker>
      </c:pivotFmt>
      <c:pivotFmt>
        <c:idx val="274"/>
        <c:marker>
          <c:symbol val="none"/>
        </c:marker>
      </c:pivotFmt>
      <c:pivotFmt>
        <c:idx val="275"/>
        <c:marker>
          <c:symbol val="none"/>
        </c:marker>
      </c:pivotFmt>
      <c:pivotFmt>
        <c:idx val="276"/>
        <c:marker>
          <c:symbol val="none"/>
        </c:marker>
      </c:pivotFmt>
      <c:pivotFmt>
        <c:idx val="277"/>
        <c:marker>
          <c:symbol val="none"/>
        </c:marker>
      </c:pivotFmt>
      <c:pivotFmt>
        <c:idx val="278"/>
        <c:marker>
          <c:symbol val="none"/>
        </c:marker>
      </c:pivotFmt>
      <c:pivotFmt>
        <c:idx val="279"/>
        <c:marker>
          <c:symbol val="none"/>
        </c:marker>
      </c:pivotFmt>
      <c:pivotFmt>
        <c:idx val="280"/>
        <c:marker>
          <c:symbol val="none"/>
        </c:marker>
      </c:pivotFmt>
      <c:pivotFmt>
        <c:idx val="281"/>
        <c:marker>
          <c:symbol val="none"/>
        </c:marker>
      </c:pivotFmt>
      <c:pivotFmt>
        <c:idx val="282"/>
        <c:marker>
          <c:symbol val="none"/>
        </c:marker>
      </c:pivotFmt>
      <c:pivotFmt>
        <c:idx val="283"/>
        <c:marker>
          <c:symbol val="none"/>
        </c:marker>
      </c:pivotFmt>
      <c:pivotFmt>
        <c:idx val="284"/>
        <c:marker>
          <c:symbol val="none"/>
        </c:marker>
      </c:pivotFmt>
      <c:pivotFmt>
        <c:idx val="285"/>
        <c:marker>
          <c:symbol val="none"/>
        </c:marker>
      </c:pivotFmt>
      <c:pivotFmt>
        <c:idx val="286"/>
        <c:marker>
          <c:symbol val="none"/>
        </c:marker>
      </c:pivotFmt>
      <c:pivotFmt>
        <c:idx val="287"/>
        <c:marker>
          <c:symbol val="none"/>
        </c:marker>
      </c:pivotFmt>
      <c:pivotFmt>
        <c:idx val="288"/>
        <c:marker>
          <c:symbol val="none"/>
        </c:marker>
      </c:pivotFmt>
      <c:pivotFmt>
        <c:idx val="289"/>
        <c:marker>
          <c:symbol val="none"/>
        </c:marker>
      </c:pivotFmt>
      <c:pivotFmt>
        <c:idx val="290"/>
        <c:marker>
          <c:symbol val="none"/>
        </c:marker>
      </c:pivotFmt>
      <c:pivotFmt>
        <c:idx val="291"/>
        <c:marker>
          <c:symbol val="none"/>
        </c:marker>
      </c:pivotFmt>
      <c:pivotFmt>
        <c:idx val="292"/>
        <c:marker>
          <c:symbol val="none"/>
        </c:marker>
      </c:pivotFmt>
      <c:pivotFmt>
        <c:idx val="293"/>
        <c:marker>
          <c:symbol val="none"/>
        </c:marker>
      </c:pivotFmt>
      <c:pivotFmt>
        <c:idx val="294"/>
        <c:marker>
          <c:symbol val="none"/>
        </c:marker>
      </c:pivotFmt>
      <c:pivotFmt>
        <c:idx val="295"/>
        <c:marker>
          <c:symbol val="none"/>
        </c:marker>
      </c:pivotFmt>
      <c:pivotFmt>
        <c:idx val="296"/>
        <c:marker>
          <c:symbol val="none"/>
        </c:marker>
      </c:pivotFmt>
      <c:pivotFmt>
        <c:idx val="297"/>
        <c:marker>
          <c:symbol val="none"/>
        </c:marker>
      </c:pivotFmt>
      <c:pivotFmt>
        <c:idx val="298"/>
        <c:marker>
          <c:symbol val="none"/>
        </c:marker>
      </c:pivotFmt>
      <c:pivotFmt>
        <c:idx val="299"/>
        <c:marker>
          <c:symbol val="none"/>
        </c:marker>
      </c:pivotFmt>
      <c:pivotFmt>
        <c:idx val="300"/>
        <c:marker>
          <c:symbol val="none"/>
        </c:marker>
      </c:pivotFmt>
      <c:pivotFmt>
        <c:idx val="301"/>
        <c:marker>
          <c:symbol val="none"/>
        </c:marker>
      </c:pivotFmt>
      <c:pivotFmt>
        <c:idx val="302"/>
        <c:marker>
          <c:symbol val="none"/>
        </c:marker>
      </c:pivotFmt>
      <c:pivotFmt>
        <c:idx val="303"/>
        <c:marker>
          <c:symbol val="none"/>
        </c:marker>
      </c:pivotFmt>
      <c:pivotFmt>
        <c:idx val="304"/>
        <c:marker>
          <c:symbol val="none"/>
        </c:marker>
      </c:pivotFmt>
      <c:pivotFmt>
        <c:idx val="305"/>
        <c:marker>
          <c:symbol val="none"/>
        </c:marker>
      </c:pivotFmt>
      <c:pivotFmt>
        <c:idx val="306"/>
        <c:marker>
          <c:symbol val="none"/>
        </c:marker>
      </c:pivotFmt>
      <c:pivotFmt>
        <c:idx val="307"/>
        <c:marker>
          <c:symbol val="none"/>
        </c:marker>
      </c:pivotFmt>
      <c:pivotFmt>
        <c:idx val="308"/>
        <c:marker>
          <c:symbol val="none"/>
        </c:marker>
      </c:pivotFmt>
      <c:pivotFmt>
        <c:idx val="309"/>
        <c:marker>
          <c:symbol val="none"/>
        </c:marker>
      </c:pivotFmt>
      <c:pivotFmt>
        <c:idx val="310"/>
        <c:marker>
          <c:symbol val="none"/>
        </c:marker>
      </c:pivotFmt>
      <c:pivotFmt>
        <c:idx val="311"/>
        <c:marker>
          <c:symbol val="none"/>
        </c:marker>
      </c:pivotFmt>
      <c:pivotFmt>
        <c:idx val="312"/>
        <c:marker>
          <c:symbol val="none"/>
        </c:marker>
      </c:pivotFmt>
      <c:pivotFmt>
        <c:idx val="313"/>
        <c:marker>
          <c:symbol val="none"/>
        </c:marker>
      </c:pivotFmt>
      <c:pivotFmt>
        <c:idx val="314"/>
        <c:marker>
          <c:symbol val="none"/>
        </c:marker>
      </c:pivotFmt>
      <c:pivotFmt>
        <c:idx val="315"/>
        <c:marker>
          <c:symbol val="none"/>
        </c:marker>
      </c:pivotFmt>
      <c:pivotFmt>
        <c:idx val="316"/>
        <c:marker>
          <c:symbol val="none"/>
        </c:marker>
      </c:pivotFmt>
      <c:pivotFmt>
        <c:idx val="317"/>
        <c:marker>
          <c:symbol val="none"/>
        </c:marker>
      </c:pivotFmt>
      <c:pivotFmt>
        <c:idx val="318"/>
        <c:marker>
          <c:symbol val="none"/>
        </c:marker>
      </c:pivotFmt>
      <c:pivotFmt>
        <c:idx val="319"/>
        <c:marker>
          <c:symbol val="none"/>
        </c:marker>
      </c:pivotFmt>
      <c:pivotFmt>
        <c:idx val="320"/>
        <c:marker>
          <c:symbol val="none"/>
        </c:marker>
      </c:pivotFmt>
      <c:pivotFmt>
        <c:idx val="321"/>
        <c:marker>
          <c:symbol val="none"/>
        </c:marker>
      </c:pivotFmt>
      <c:pivotFmt>
        <c:idx val="322"/>
        <c:marker>
          <c:symbol val="none"/>
        </c:marker>
      </c:pivotFmt>
      <c:pivotFmt>
        <c:idx val="323"/>
        <c:marker>
          <c:symbol val="none"/>
        </c:marker>
      </c:pivotFmt>
      <c:pivotFmt>
        <c:idx val="324"/>
        <c:marker>
          <c:symbol val="none"/>
        </c:marker>
      </c:pivotFmt>
      <c:pivotFmt>
        <c:idx val="325"/>
        <c:marker>
          <c:symbol val="none"/>
        </c:marker>
      </c:pivotFmt>
      <c:pivotFmt>
        <c:idx val="326"/>
        <c:marker>
          <c:symbol val="none"/>
        </c:marker>
      </c:pivotFmt>
      <c:pivotFmt>
        <c:idx val="327"/>
        <c:marker>
          <c:symbol val="none"/>
        </c:marker>
      </c:pivotFmt>
      <c:pivotFmt>
        <c:idx val="328"/>
        <c:marker>
          <c:symbol val="none"/>
        </c:marker>
      </c:pivotFmt>
      <c:pivotFmt>
        <c:idx val="329"/>
        <c:marker>
          <c:symbol val="none"/>
        </c:marker>
      </c:pivotFmt>
      <c:pivotFmt>
        <c:idx val="330"/>
        <c:marker>
          <c:symbol val="none"/>
        </c:marker>
      </c:pivotFmt>
      <c:pivotFmt>
        <c:idx val="331"/>
        <c:marker>
          <c:symbol val="none"/>
        </c:marker>
      </c:pivotFmt>
      <c:pivotFmt>
        <c:idx val="332"/>
        <c:marker>
          <c:symbol val="none"/>
        </c:marker>
      </c:pivotFmt>
      <c:pivotFmt>
        <c:idx val="333"/>
        <c:marker>
          <c:symbol val="none"/>
        </c:marker>
      </c:pivotFmt>
      <c:pivotFmt>
        <c:idx val="334"/>
        <c:marker>
          <c:symbol val="none"/>
        </c:marker>
      </c:pivotFmt>
      <c:pivotFmt>
        <c:idx val="335"/>
        <c:marker>
          <c:symbol val="none"/>
        </c:marker>
      </c:pivotFmt>
      <c:pivotFmt>
        <c:idx val="336"/>
        <c:marker>
          <c:symbol val="none"/>
        </c:marker>
      </c:pivotFmt>
      <c:pivotFmt>
        <c:idx val="337"/>
        <c:marker>
          <c:symbol val="none"/>
        </c:marker>
      </c:pivotFmt>
      <c:pivotFmt>
        <c:idx val="338"/>
        <c:marker>
          <c:symbol val="none"/>
        </c:marker>
      </c:pivotFmt>
      <c:pivotFmt>
        <c:idx val="339"/>
        <c:marker>
          <c:symbol val="none"/>
        </c:marker>
      </c:pivotFmt>
      <c:pivotFmt>
        <c:idx val="340"/>
        <c:marker>
          <c:symbol val="none"/>
        </c:marker>
      </c:pivotFmt>
      <c:pivotFmt>
        <c:idx val="341"/>
        <c:marker>
          <c:symbol val="none"/>
        </c:marker>
      </c:pivotFmt>
      <c:pivotFmt>
        <c:idx val="342"/>
        <c:marker>
          <c:symbol val="none"/>
        </c:marker>
      </c:pivotFmt>
      <c:pivotFmt>
        <c:idx val="343"/>
        <c:marker>
          <c:symbol val="none"/>
        </c:marker>
      </c:pivotFmt>
      <c:pivotFmt>
        <c:idx val="344"/>
        <c:marker>
          <c:symbol val="none"/>
        </c:marker>
      </c:pivotFmt>
      <c:pivotFmt>
        <c:idx val="345"/>
        <c:marker>
          <c:symbol val="none"/>
        </c:marker>
      </c:pivotFmt>
      <c:pivotFmt>
        <c:idx val="346"/>
        <c:marker>
          <c:symbol val="none"/>
        </c:marker>
      </c:pivotFmt>
      <c:pivotFmt>
        <c:idx val="347"/>
        <c:marker>
          <c:symbol val="none"/>
        </c:marker>
      </c:pivotFmt>
      <c:pivotFmt>
        <c:idx val="348"/>
        <c:marker>
          <c:symbol val="none"/>
        </c:marker>
      </c:pivotFmt>
      <c:pivotFmt>
        <c:idx val="349"/>
        <c:marker>
          <c:symbol val="none"/>
        </c:marker>
      </c:pivotFmt>
      <c:pivotFmt>
        <c:idx val="350"/>
        <c:marker>
          <c:symbol val="none"/>
        </c:marker>
      </c:pivotFmt>
      <c:pivotFmt>
        <c:idx val="351"/>
        <c:marker>
          <c:symbol val="none"/>
        </c:marker>
      </c:pivotFmt>
      <c:pivotFmt>
        <c:idx val="352"/>
        <c:marker>
          <c:symbol val="none"/>
        </c:marker>
      </c:pivotFmt>
      <c:pivotFmt>
        <c:idx val="353"/>
        <c:marker>
          <c:symbol val="none"/>
        </c:marker>
      </c:pivotFmt>
      <c:pivotFmt>
        <c:idx val="354"/>
        <c:marker>
          <c:symbol val="none"/>
        </c:marker>
      </c:pivotFmt>
      <c:pivotFmt>
        <c:idx val="355"/>
        <c:marker>
          <c:symbol val="none"/>
        </c:marker>
      </c:pivotFmt>
      <c:pivotFmt>
        <c:idx val="356"/>
        <c:marker>
          <c:symbol val="none"/>
        </c:marker>
      </c:pivotFmt>
      <c:pivotFmt>
        <c:idx val="357"/>
        <c:marker>
          <c:symbol val="none"/>
        </c:marker>
      </c:pivotFmt>
      <c:pivotFmt>
        <c:idx val="358"/>
        <c:marker>
          <c:symbol val="none"/>
        </c:marker>
      </c:pivotFmt>
      <c:pivotFmt>
        <c:idx val="359"/>
        <c:marker>
          <c:symbol val="none"/>
        </c:marker>
      </c:pivotFmt>
      <c:pivotFmt>
        <c:idx val="360"/>
        <c:marker>
          <c:symbol val="none"/>
        </c:marker>
      </c:pivotFmt>
      <c:pivotFmt>
        <c:idx val="361"/>
        <c:marker>
          <c:symbol val="none"/>
        </c:marker>
      </c:pivotFmt>
      <c:pivotFmt>
        <c:idx val="362"/>
        <c:marker>
          <c:symbol val="none"/>
        </c:marker>
      </c:pivotFmt>
      <c:pivotFmt>
        <c:idx val="363"/>
        <c:marker>
          <c:symbol val="none"/>
        </c:marker>
      </c:pivotFmt>
      <c:pivotFmt>
        <c:idx val="364"/>
        <c:marker>
          <c:symbol val="none"/>
        </c:marker>
      </c:pivotFmt>
      <c:pivotFmt>
        <c:idx val="365"/>
        <c:marker>
          <c:symbol val="none"/>
        </c:marker>
      </c:pivotFmt>
      <c:pivotFmt>
        <c:idx val="366"/>
        <c:marker>
          <c:symbol val="none"/>
        </c:marker>
      </c:pivotFmt>
      <c:pivotFmt>
        <c:idx val="367"/>
        <c:marker>
          <c:symbol val="none"/>
        </c:marker>
      </c:pivotFmt>
      <c:pivotFmt>
        <c:idx val="368"/>
        <c:marker>
          <c:symbol val="none"/>
        </c:marker>
      </c:pivotFmt>
      <c:pivotFmt>
        <c:idx val="369"/>
        <c:marker>
          <c:symbol val="none"/>
        </c:marker>
      </c:pivotFmt>
      <c:pivotFmt>
        <c:idx val="370"/>
        <c:marker>
          <c:symbol val="none"/>
        </c:marker>
      </c:pivotFmt>
      <c:pivotFmt>
        <c:idx val="371"/>
        <c:marker>
          <c:symbol val="none"/>
        </c:marker>
      </c:pivotFmt>
      <c:pivotFmt>
        <c:idx val="372"/>
        <c:marker>
          <c:symbol val="none"/>
        </c:marker>
      </c:pivotFmt>
      <c:pivotFmt>
        <c:idx val="373"/>
        <c:marker>
          <c:symbol val="none"/>
        </c:marker>
      </c:pivotFmt>
      <c:pivotFmt>
        <c:idx val="374"/>
        <c:marker>
          <c:symbol val="none"/>
        </c:marker>
      </c:pivotFmt>
      <c:pivotFmt>
        <c:idx val="375"/>
        <c:marker>
          <c:symbol val="none"/>
        </c:marker>
      </c:pivotFmt>
      <c:pivotFmt>
        <c:idx val="376"/>
        <c:marker>
          <c:symbol val="none"/>
        </c:marker>
      </c:pivotFmt>
      <c:pivotFmt>
        <c:idx val="377"/>
        <c:marker>
          <c:symbol val="none"/>
        </c:marker>
      </c:pivotFmt>
      <c:pivotFmt>
        <c:idx val="378"/>
        <c:marker>
          <c:symbol val="none"/>
        </c:marker>
      </c:pivotFmt>
      <c:pivotFmt>
        <c:idx val="379"/>
        <c:marker>
          <c:symbol val="none"/>
        </c:marker>
      </c:pivotFmt>
      <c:pivotFmt>
        <c:idx val="380"/>
        <c:marker>
          <c:symbol val="none"/>
        </c:marker>
      </c:pivotFmt>
      <c:pivotFmt>
        <c:idx val="381"/>
        <c:marker>
          <c:symbol val="none"/>
        </c:marker>
      </c:pivotFmt>
      <c:pivotFmt>
        <c:idx val="382"/>
        <c:marker>
          <c:symbol val="none"/>
        </c:marker>
      </c:pivotFmt>
      <c:pivotFmt>
        <c:idx val="383"/>
        <c:marker>
          <c:symbol val="none"/>
        </c:marker>
      </c:pivotFmt>
      <c:pivotFmt>
        <c:idx val="384"/>
        <c:marker>
          <c:symbol val="none"/>
        </c:marker>
      </c:pivotFmt>
      <c:pivotFmt>
        <c:idx val="385"/>
        <c:marker>
          <c:symbol val="none"/>
        </c:marker>
      </c:pivotFmt>
      <c:pivotFmt>
        <c:idx val="386"/>
        <c:marker>
          <c:symbol val="none"/>
        </c:marker>
      </c:pivotFmt>
      <c:pivotFmt>
        <c:idx val="387"/>
        <c:marker>
          <c:symbol val="none"/>
        </c:marker>
      </c:pivotFmt>
      <c:pivotFmt>
        <c:idx val="388"/>
        <c:marker>
          <c:symbol val="none"/>
        </c:marker>
      </c:pivotFmt>
      <c:pivotFmt>
        <c:idx val="389"/>
        <c:marker>
          <c:symbol val="none"/>
        </c:marker>
      </c:pivotFmt>
      <c:pivotFmt>
        <c:idx val="390"/>
        <c:marker>
          <c:symbol val="none"/>
        </c:marker>
      </c:pivotFmt>
      <c:pivotFmt>
        <c:idx val="391"/>
        <c:marker>
          <c:symbol val="none"/>
        </c:marker>
      </c:pivotFmt>
      <c:pivotFmt>
        <c:idx val="392"/>
        <c:marker>
          <c:symbol val="none"/>
        </c:marker>
      </c:pivotFmt>
      <c:pivotFmt>
        <c:idx val="393"/>
        <c:marker>
          <c:symbol val="none"/>
        </c:marker>
      </c:pivotFmt>
      <c:pivotFmt>
        <c:idx val="394"/>
        <c:marker>
          <c:symbol val="none"/>
        </c:marker>
      </c:pivotFmt>
      <c:pivotFmt>
        <c:idx val="395"/>
        <c:marker>
          <c:symbol val="none"/>
        </c:marker>
      </c:pivotFmt>
      <c:pivotFmt>
        <c:idx val="396"/>
        <c:marker>
          <c:symbol val="none"/>
        </c:marker>
      </c:pivotFmt>
      <c:pivotFmt>
        <c:idx val="397"/>
        <c:marker>
          <c:symbol val="none"/>
        </c:marker>
      </c:pivotFmt>
      <c:pivotFmt>
        <c:idx val="398"/>
        <c:marker>
          <c:symbol val="none"/>
        </c:marker>
      </c:pivotFmt>
      <c:pivotFmt>
        <c:idx val="399"/>
        <c:marker>
          <c:symbol val="none"/>
        </c:marker>
      </c:pivotFmt>
      <c:pivotFmt>
        <c:idx val="400"/>
        <c:marker>
          <c:symbol val="none"/>
        </c:marker>
      </c:pivotFmt>
      <c:pivotFmt>
        <c:idx val="401"/>
        <c:marker>
          <c:symbol val="none"/>
        </c:marker>
      </c:pivotFmt>
      <c:pivotFmt>
        <c:idx val="402"/>
        <c:marker>
          <c:symbol val="none"/>
        </c:marker>
      </c:pivotFmt>
      <c:pivotFmt>
        <c:idx val="403"/>
        <c:marker>
          <c:symbol val="none"/>
        </c:marker>
      </c:pivotFmt>
      <c:pivotFmt>
        <c:idx val="404"/>
        <c:marker>
          <c:symbol val="none"/>
        </c:marker>
      </c:pivotFmt>
      <c:pivotFmt>
        <c:idx val="405"/>
        <c:marker>
          <c:symbol val="none"/>
        </c:marker>
      </c:pivotFmt>
      <c:pivotFmt>
        <c:idx val="406"/>
        <c:marker>
          <c:symbol val="none"/>
        </c:marker>
      </c:pivotFmt>
      <c:pivotFmt>
        <c:idx val="407"/>
        <c:marker>
          <c:symbol val="none"/>
        </c:marker>
      </c:pivotFmt>
      <c:pivotFmt>
        <c:idx val="408"/>
        <c:marker>
          <c:symbol val="none"/>
        </c:marker>
      </c:pivotFmt>
      <c:pivotFmt>
        <c:idx val="409"/>
        <c:marker>
          <c:symbol val="none"/>
        </c:marker>
      </c:pivotFmt>
      <c:pivotFmt>
        <c:idx val="410"/>
        <c:marker>
          <c:symbol val="none"/>
        </c:marker>
      </c:pivotFmt>
      <c:pivotFmt>
        <c:idx val="411"/>
        <c:marker>
          <c:symbol val="none"/>
        </c:marker>
      </c:pivotFmt>
      <c:pivotFmt>
        <c:idx val="412"/>
        <c:marker>
          <c:symbol val="none"/>
        </c:marker>
      </c:pivotFmt>
      <c:pivotFmt>
        <c:idx val="413"/>
        <c:marker>
          <c:symbol val="none"/>
        </c:marker>
      </c:pivotFmt>
      <c:pivotFmt>
        <c:idx val="414"/>
        <c:marker>
          <c:symbol val="none"/>
        </c:marker>
      </c:pivotFmt>
      <c:pivotFmt>
        <c:idx val="415"/>
        <c:marker>
          <c:symbol val="none"/>
        </c:marker>
      </c:pivotFmt>
      <c:pivotFmt>
        <c:idx val="416"/>
        <c:marker>
          <c:symbol val="none"/>
        </c:marker>
      </c:pivotFmt>
      <c:pivotFmt>
        <c:idx val="417"/>
        <c:marker>
          <c:symbol val="none"/>
        </c:marker>
      </c:pivotFmt>
      <c:pivotFmt>
        <c:idx val="418"/>
        <c:marker>
          <c:symbol val="none"/>
        </c:marker>
      </c:pivotFmt>
      <c:pivotFmt>
        <c:idx val="419"/>
        <c:marker>
          <c:symbol val="none"/>
        </c:marker>
      </c:pivotFmt>
      <c:pivotFmt>
        <c:idx val="420"/>
        <c:marker>
          <c:symbol val="none"/>
        </c:marker>
      </c:pivotFmt>
      <c:pivotFmt>
        <c:idx val="421"/>
        <c:marker>
          <c:symbol val="none"/>
        </c:marker>
      </c:pivotFmt>
      <c:pivotFmt>
        <c:idx val="422"/>
        <c:marker>
          <c:symbol val="none"/>
        </c:marker>
      </c:pivotFmt>
      <c:pivotFmt>
        <c:idx val="423"/>
        <c:marker>
          <c:symbol val="none"/>
        </c:marker>
      </c:pivotFmt>
      <c:pivotFmt>
        <c:idx val="424"/>
        <c:marker>
          <c:symbol val="none"/>
        </c:marker>
      </c:pivotFmt>
      <c:pivotFmt>
        <c:idx val="425"/>
        <c:marker>
          <c:symbol val="none"/>
        </c:marker>
      </c:pivotFmt>
      <c:pivotFmt>
        <c:idx val="426"/>
        <c:marker>
          <c:symbol val="none"/>
        </c:marker>
      </c:pivotFmt>
      <c:pivotFmt>
        <c:idx val="427"/>
        <c:marker>
          <c:symbol val="none"/>
        </c:marker>
      </c:pivotFmt>
      <c:pivotFmt>
        <c:idx val="428"/>
        <c:marker>
          <c:symbol val="none"/>
        </c:marker>
      </c:pivotFmt>
      <c:pivotFmt>
        <c:idx val="429"/>
        <c:marker>
          <c:symbol val="none"/>
        </c:marker>
      </c:pivotFmt>
      <c:pivotFmt>
        <c:idx val="430"/>
        <c:marker>
          <c:symbol val="none"/>
        </c:marker>
      </c:pivotFmt>
      <c:pivotFmt>
        <c:idx val="431"/>
        <c:marker>
          <c:symbol val="none"/>
        </c:marker>
      </c:pivotFmt>
      <c:pivotFmt>
        <c:idx val="432"/>
        <c:marker>
          <c:symbol val="none"/>
        </c:marker>
      </c:pivotFmt>
      <c:pivotFmt>
        <c:idx val="433"/>
        <c:marker>
          <c:symbol val="none"/>
        </c:marker>
      </c:pivotFmt>
      <c:pivotFmt>
        <c:idx val="434"/>
        <c:marker>
          <c:symbol val="none"/>
        </c:marker>
      </c:pivotFmt>
      <c:pivotFmt>
        <c:idx val="435"/>
        <c:marker>
          <c:symbol val="none"/>
        </c:marker>
      </c:pivotFmt>
      <c:pivotFmt>
        <c:idx val="436"/>
        <c:marker>
          <c:symbol val="none"/>
        </c:marker>
      </c:pivotFmt>
      <c:pivotFmt>
        <c:idx val="437"/>
        <c:marker>
          <c:symbol val="none"/>
        </c:marker>
      </c:pivotFmt>
      <c:pivotFmt>
        <c:idx val="438"/>
        <c:marker>
          <c:symbol val="none"/>
        </c:marker>
      </c:pivotFmt>
      <c:pivotFmt>
        <c:idx val="439"/>
        <c:marker>
          <c:symbol val="none"/>
        </c:marker>
      </c:pivotFmt>
      <c:pivotFmt>
        <c:idx val="440"/>
        <c:marker>
          <c:symbol val="none"/>
        </c:marker>
      </c:pivotFmt>
      <c:pivotFmt>
        <c:idx val="441"/>
        <c:marker>
          <c:symbol val="none"/>
        </c:marker>
      </c:pivotFmt>
      <c:pivotFmt>
        <c:idx val="442"/>
        <c:marker>
          <c:symbol val="none"/>
        </c:marker>
      </c:pivotFmt>
      <c:pivotFmt>
        <c:idx val="443"/>
        <c:marker>
          <c:symbol val="none"/>
        </c:marker>
      </c:pivotFmt>
      <c:pivotFmt>
        <c:idx val="444"/>
        <c:marker>
          <c:symbol val="none"/>
        </c:marker>
      </c:pivotFmt>
      <c:pivotFmt>
        <c:idx val="445"/>
        <c:marker>
          <c:symbol val="none"/>
        </c:marker>
      </c:pivotFmt>
      <c:pivotFmt>
        <c:idx val="446"/>
        <c:marker>
          <c:symbol val="none"/>
        </c:marker>
      </c:pivotFmt>
      <c:pivotFmt>
        <c:idx val="447"/>
        <c:marker>
          <c:symbol val="none"/>
        </c:marker>
      </c:pivotFmt>
      <c:pivotFmt>
        <c:idx val="448"/>
        <c:marker>
          <c:symbol val="none"/>
        </c:marker>
      </c:pivotFmt>
      <c:pivotFmt>
        <c:idx val="449"/>
        <c:marker>
          <c:symbol val="none"/>
        </c:marker>
      </c:pivotFmt>
      <c:pivotFmt>
        <c:idx val="450"/>
        <c:marker>
          <c:symbol val="none"/>
        </c:marker>
      </c:pivotFmt>
      <c:pivotFmt>
        <c:idx val="451"/>
        <c:marker>
          <c:symbol val="none"/>
        </c:marker>
      </c:pivotFmt>
      <c:pivotFmt>
        <c:idx val="452"/>
        <c:marker>
          <c:symbol val="none"/>
        </c:marker>
      </c:pivotFmt>
      <c:pivotFmt>
        <c:idx val="453"/>
        <c:marker>
          <c:symbol val="none"/>
        </c:marker>
      </c:pivotFmt>
      <c:pivotFmt>
        <c:idx val="454"/>
        <c:marker>
          <c:symbol val="none"/>
        </c:marker>
      </c:pivotFmt>
      <c:pivotFmt>
        <c:idx val="455"/>
        <c:marker>
          <c:symbol val="none"/>
        </c:marker>
      </c:pivotFmt>
      <c:pivotFmt>
        <c:idx val="456"/>
        <c:marker>
          <c:symbol val="none"/>
        </c:marker>
      </c:pivotFmt>
      <c:pivotFmt>
        <c:idx val="457"/>
        <c:marker>
          <c:symbol val="none"/>
        </c:marker>
      </c:pivotFmt>
      <c:pivotFmt>
        <c:idx val="458"/>
        <c:marker>
          <c:symbol val="none"/>
        </c:marker>
      </c:pivotFmt>
      <c:pivotFmt>
        <c:idx val="459"/>
        <c:marker>
          <c:symbol val="none"/>
        </c:marker>
      </c:pivotFmt>
      <c:pivotFmt>
        <c:idx val="460"/>
        <c:marker>
          <c:symbol val="none"/>
        </c:marker>
      </c:pivotFmt>
      <c:pivotFmt>
        <c:idx val="461"/>
        <c:marker>
          <c:symbol val="none"/>
        </c:marker>
      </c:pivotFmt>
      <c:pivotFmt>
        <c:idx val="462"/>
        <c:marker>
          <c:symbol val="none"/>
        </c:marker>
      </c:pivotFmt>
      <c:pivotFmt>
        <c:idx val="463"/>
        <c:marker>
          <c:symbol val="none"/>
        </c:marker>
      </c:pivotFmt>
      <c:pivotFmt>
        <c:idx val="464"/>
        <c:marker>
          <c:symbol val="none"/>
        </c:marker>
      </c:pivotFmt>
      <c:pivotFmt>
        <c:idx val="465"/>
        <c:marker>
          <c:symbol val="none"/>
        </c:marker>
      </c:pivotFmt>
      <c:pivotFmt>
        <c:idx val="466"/>
        <c:marker>
          <c:symbol val="none"/>
        </c:marker>
      </c:pivotFmt>
      <c:pivotFmt>
        <c:idx val="467"/>
        <c:marker>
          <c:symbol val="none"/>
        </c:marker>
      </c:pivotFmt>
      <c:pivotFmt>
        <c:idx val="468"/>
        <c:marker>
          <c:symbol val="none"/>
        </c:marker>
      </c:pivotFmt>
      <c:pivotFmt>
        <c:idx val="469"/>
        <c:marker>
          <c:symbol val="none"/>
        </c:marker>
      </c:pivotFmt>
      <c:pivotFmt>
        <c:idx val="470"/>
        <c:marker>
          <c:symbol val="none"/>
        </c:marker>
      </c:pivotFmt>
      <c:pivotFmt>
        <c:idx val="471"/>
        <c:marker>
          <c:symbol val="none"/>
        </c:marker>
      </c:pivotFmt>
      <c:pivotFmt>
        <c:idx val="472"/>
        <c:marker>
          <c:symbol val="none"/>
        </c:marker>
      </c:pivotFmt>
      <c:pivotFmt>
        <c:idx val="473"/>
        <c:marker>
          <c:symbol val="none"/>
        </c:marker>
      </c:pivotFmt>
      <c:pivotFmt>
        <c:idx val="474"/>
        <c:marker>
          <c:symbol val="none"/>
        </c:marker>
      </c:pivotFmt>
      <c:pivotFmt>
        <c:idx val="475"/>
        <c:marker>
          <c:symbol val="none"/>
        </c:marker>
      </c:pivotFmt>
      <c:pivotFmt>
        <c:idx val="476"/>
        <c:marker>
          <c:symbol val="none"/>
        </c:marker>
      </c:pivotFmt>
      <c:pivotFmt>
        <c:idx val="477"/>
        <c:marker>
          <c:symbol val="none"/>
        </c:marker>
      </c:pivotFmt>
      <c:pivotFmt>
        <c:idx val="478"/>
        <c:marker>
          <c:symbol val="none"/>
        </c:marker>
      </c:pivotFmt>
      <c:pivotFmt>
        <c:idx val="479"/>
        <c:marker>
          <c:symbol val="none"/>
        </c:marker>
      </c:pivotFmt>
      <c:pivotFmt>
        <c:idx val="480"/>
        <c:marker>
          <c:symbol val="none"/>
        </c:marker>
      </c:pivotFmt>
      <c:pivotFmt>
        <c:idx val="481"/>
        <c:marker>
          <c:symbol val="none"/>
        </c:marker>
      </c:pivotFmt>
      <c:pivotFmt>
        <c:idx val="482"/>
        <c:marker>
          <c:symbol val="none"/>
        </c:marker>
      </c:pivotFmt>
      <c:pivotFmt>
        <c:idx val="483"/>
        <c:marker>
          <c:symbol val="none"/>
        </c:marker>
      </c:pivotFmt>
      <c:pivotFmt>
        <c:idx val="484"/>
        <c:marker>
          <c:symbol val="none"/>
        </c:marker>
      </c:pivotFmt>
      <c:pivotFmt>
        <c:idx val="485"/>
        <c:marker>
          <c:symbol val="none"/>
        </c:marker>
      </c:pivotFmt>
      <c:pivotFmt>
        <c:idx val="486"/>
        <c:marker>
          <c:symbol val="none"/>
        </c:marker>
      </c:pivotFmt>
      <c:pivotFmt>
        <c:idx val="487"/>
        <c:marker>
          <c:symbol val="none"/>
        </c:marker>
      </c:pivotFmt>
      <c:pivotFmt>
        <c:idx val="488"/>
        <c:marker>
          <c:symbol val="none"/>
        </c:marker>
      </c:pivotFmt>
      <c:pivotFmt>
        <c:idx val="489"/>
        <c:marker>
          <c:symbol val="none"/>
        </c:marker>
      </c:pivotFmt>
      <c:pivotFmt>
        <c:idx val="490"/>
        <c:marker>
          <c:symbol val="none"/>
        </c:marker>
      </c:pivotFmt>
      <c:pivotFmt>
        <c:idx val="491"/>
        <c:marker>
          <c:symbol val="none"/>
        </c:marker>
      </c:pivotFmt>
      <c:pivotFmt>
        <c:idx val="492"/>
        <c:marker>
          <c:symbol val="none"/>
        </c:marker>
      </c:pivotFmt>
      <c:pivotFmt>
        <c:idx val="493"/>
        <c:marker>
          <c:symbol val="none"/>
        </c:marker>
      </c:pivotFmt>
      <c:pivotFmt>
        <c:idx val="494"/>
        <c:marker>
          <c:symbol val="none"/>
        </c:marker>
      </c:pivotFmt>
      <c:pivotFmt>
        <c:idx val="495"/>
        <c:marker>
          <c:symbol val="none"/>
        </c:marker>
      </c:pivotFmt>
      <c:pivotFmt>
        <c:idx val="496"/>
        <c:marker>
          <c:symbol val="none"/>
        </c:marker>
      </c:pivotFmt>
      <c:pivotFmt>
        <c:idx val="497"/>
        <c:marker>
          <c:symbol val="none"/>
        </c:marker>
      </c:pivotFmt>
      <c:pivotFmt>
        <c:idx val="498"/>
        <c:marker>
          <c:symbol val="none"/>
        </c:marker>
      </c:pivotFmt>
      <c:pivotFmt>
        <c:idx val="499"/>
        <c:marker>
          <c:symbol val="none"/>
        </c:marker>
      </c:pivotFmt>
      <c:pivotFmt>
        <c:idx val="500"/>
        <c:marker>
          <c:symbol val="none"/>
        </c:marker>
      </c:pivotFmt>
      <c:pivotFmt>
        <c:idx val="501"/>
        <c:marker>
          <c:symbol val="none"/>
        </c:marker>
      </c:pivotFmt>
      <c:pivotFmt>
        <c:idx val="502"/>
        <c:marker>
          <c:symbol val="none"/>
        </c:marker>
      </c:pivotFmt>
      <c:pivotFmt>
        <c:idx val="503"/>
        <c:marker>
          <c:symbol val="none"/>
        </c:marker>
      </c:pivotFmt>
      <c:pivotFmt>
        <c:idx val="504"/>
        <c:marker>
          <c:symbol val="none"/>
        </c:marker>
      </c:pivotFmt>
      <c:pivotFmt>
        <c:idx val="505"/>
        <c:marker>
          <c:symbol val="none"/>
        </c:marker>
      </c:pivotFmt>
      <c:pivotFmt>
        <c:idx val="506"/>
        <c:marker>
          <c:symbol val="none"/>
        </c:marker>
      </c:pivotFmt>
      <c:pivotFmt>
        <c:idx val="507"/>
        <c:marker>
          <c:symbol val="none"/>
        </c:marker>
      </c:pivotFmt>
      <c:pivotFmt>
        <c:idx val="508"/>
        <c:marker>
          <c:symbol val="none"/>
        </c:marker>
      </c:pivotFmt>
      <c:pivotFmt>
        <c:idx val="509"/>
        <c:marker>
          <c:symbol val="none"/>
        </c:marker>
      </c:pivotFmt>
      <c:pivotFmt>
        <c:idx val="510"/>
        <c:marker>
          <c:symbol val="none"/>
        </c:marker>
      </c:pivotFmt>
      <c:pivotFmt>
        <c:idx val="511"/>
        <c:marker>
          <c:symbol val="none"/>
        </c:marker>
      </c:pivotFmt>
      <c:pivotFmt>
        <c:idx val="512"/>
        <c:marker>
          <c:symbol val="none"/>
        </c:marker>
      </c:pivotFmt>
      <c:pivotFmt>
        <c:idx val="513"/>
        <c:marker>
          <c:symbol val="none"/>
        </c:marker>
      </c:pivotFmt>
      <c:pivotFmt>
        <c:idx val="514"/>
        <c:marker>
          <c:symbol val="none"/>
        </c:marker>
      </c:pivotFmt>
      <c:pivotFmt>
        <c:idx val="515"/>
        <c:marker>
          <c:symbol val="none"/>
        </c:marker>
      </c:pivotFmt>
      <c:pivotFmt>
        <c:idx val="516"/>
        <c:marker>
          <c:symbol val="none"/>
        </c:marker>
      </c:pivotFmt>
      <c:pivotFmt>
        <c:idx val="517"/>
        <c:marker>
          <c:symbol val="none"/>
        </c:marker>
      </c:pivotFmt>
      <c:pivotFmt>
        <c:idx val="518"/>
        <c:marker>
          <c:symbol val="none"/>
        </c:marker>
      </c:pivotFmt>
      <c:pivotFmt>
        <c:idx val="519"/>
        <c:marker>
          <c:symbol val="none"/>
        </c:marker>
      </c:pivotFmt>
      <c:pivotFmt>
        <c:idx val="520"/>
        <c:marker>
          <c:symbol val="none"/>
        </c:marker>
      </c:pivotFmt>
      <c:pivotFmt>
        <c:idx val="521"/>
        <c:marker>
          <c:symbol val="none"/>
        </c:marker>
      </c:pivotFmt>
      <c:pivotFmt>
        <c:idx val="522"/>
        <c:marker>
          <c:symbol val="none"/>
        </c:marker>
      </c:pivotFmt>
      <c:pivotFmt>
        <c:idx val="523"/>
        <c:marker>
          <c:symbol val="none"/>
        </c:marker>
      </c:pivotFmt>
      <c:pivotFmt>
        <c:idx val="524"/>
        <c:marker>
          <c:symbol val="none"/>
        </c:marker>
      </c:pivotFmt>
      <c:pivotFmt>
        <c:idx val="525"/>
        <c:marker>
          <c:symbol val="none"/>
        </c:marker>
      </c:pivotFmt>
      <c:pivotFmt>
        <c:idx val="526"/>
        <c:marker>
          <c:symbol val="none"/>
        </c:marker>
      </c:pivotFmt>
      <c:pivotFmt>
        <c:idx val="527"/>
        <c:marker>
          <c:symbol val="none"/>
        </c:marker>
      </c:pivotFmt>
      <c:pivotFmt>
        <c:idx val="528"/>
        <c:marker>
          <c:symbol val="none"/>
        </c:marker>
      </c:pivotFmt>
      <c:pivotFmt>
        <c:idx val="529"/>
        <c:marker>
          <c:symbol val="none"/>
        </c:marker>
      </c:pivotFmt>
      <c:pivotFmt>
        <c:idx val="530"/>
        <c:marker>
          <c:symbol val="none"/>
        </c:marker>
      </c:pivotFmt>
      <c:pivotFmt>
        <c:idx val="531"/>
        <c:marker>
          <c:symbol val="none"/>
        </c:marker>
      </c:pivotFmt>
      <c:pivotFmt>
        <c:idx val="532"/>
        <c:marker>
          <c:symbol val="none"/>
        </c:marker>
      </c:pivotFmt>
      <c:pivotFmt>
        <c:idx val="533"/>
        <c:marker>
          <c:symbol val="none"/>
        </c:marker>
      </c:pivotFmt>
      <c:pivotFmt>
        <c:idx val="534"/>
        <c:marker>
          <c:symbol val="none"/>
        </c:marker>
      </c:pivotFmt>
      <c:pivotFmt>
        <c:idx val="535"/>
        <c:marker>
          <c:symbol val="none"/>
        </c:marker>
      </c:pivotFmt>
      <c:pivotFmt>
        <c:idx val="536"/>
        <c:marker>
          <c:symbol val="none"/>
        </c:marker>
      </c:pivotFmt>
      <c:pivotFmt>
        <c:idx val="537"/>
        <c:marker>
          <c:symbol val="none"/>
        </c:marker>
      </c:pivotFmt>
      <c:pivotFmt>
        <c:idx val="538"/>
        <c:marker>
          <c:symbol val="none"/>
        </c:marker>
      </c:pivotFmt>
      <c:pivotFmt>
        <c:idx val="539"/>
        <c:marker>
          <c:symbol val="none"/>
        </c:marker>
      </c:pivotFmt>
      <c:pivotFmt>
        <c:idx val="540"/>
        <c:marker>
          <c:symbol val="none"/>
        </c:marker>
      </c:pivotFmt>
      <c:pivotFmt>
        <c:idx val="541"/>
        <c:marker>
          <c:symbol val="none"/>
        </c:marker>
      </c:pivotFmt>
      <c:pivotFmt>
        <c:idx val="542"/>
        <c:marker>
          <c:symbol val="none"/>
        </c:marker>
      </c:pivotFmt>
      <c:pivotFmt>
        <c:idx val="543"/>
        <c:marker>
          <c:symbol val="none"/>
        </c:marker>
      </c:pivotFmt>
      <c:pivotFmt>
        <c:idx val="544"/>
        <c:marker>
          <c:symbol val="none"/>
        </c:marker>
      </c:pivotFmt>
      <c:pivotFmt>
        <c:idx val="545"/>
        <c:marker>
          <c:symbol val="none"/>
        </c:marker>
      </c:pivotFmt>
      <c:pivotFmt>
        <c:idx val="546"/>
        <c:marker>
          <c:symbol val="none"/>
        </c:marker>
      </c:pivotFmt>
      <c:pivotFmt>
        <c:idx val="547"/>
        <c:marker>
          <c:symbol val="none"/>
        </c:marker>
      </c:pivotFmt>
      <c:pivotFmt>
        <c:idx val="548"/>
        <c:marker>
          <c:symbol val="none"/>
        </c:marker>
      </c:pivotFmt>
      <c:pivotFmt>
        <c:idx val="549"/>
        <c:marker>
          <c:symbol val="none"/>
        </c:marker>
      </c:pivotFmt>
      <c:pivotFmt>
        <c:idx val="550"/>
        <c:marker>
          <c:symbol val="none"/>
        </c:marker>
      </c:pivotFmt>
      <c:pivotFmt>
        <c:idx val="551"/>
        <c:marker>
          <c:symbol val="none"/>
        </c:marker>
      </c:pivotFmt>
      <c:pivotFmt>
        <c:idx val="552"/>
        <c:marker>
          <c:symbol val="none"/>
        </c:marker>
      </c:pivotFmt>
      <c:pivotFmt>
        <c:idx val="553"/>
        <c:marker>
          <c:symbol val="none"/>
        </c:marker>
      </c:pivotFmt>
      <c:pivotFmt>
        <c:idx val="554"/>
        <c:marker>
          <c:symbol val="none"/>
        </c:marker>
      </c:pivotFmt>
      <c:pivotFmt>
        <c:idx val="555"/>
        <c:marker>
          <c:symbol val="none"/>
        </c:marker>
      </c:pivotFmt>
      <c:pivotFmt>
        <c:idx val="556"/>
        <c:marker>
          <c:symbol val="none"/>
        </c:marker>
      </c:pivotFmt>
      <c:pivotFmt>
        <c:idx val="557"/>
        <c:marker>
          <c:symbol val="none"/>
        </c:marker>
      </c:pivotFmt>
      <c:pivotFmt>
        <c:idx val="558"/>
        <c:marker>
          <c:symbol val="none"/>
        </c:marker>
      </c:pivotFmt>
      <c:pivotFmt>
        <c:idx val="559"/>
        <c:marker>
          <c:symbol val="none"/>
        </c:marker>
      </c:pivotFmt>
      <c:pivotFmt>
        <c:idx val="560"/>
        <c:marker>
          <c:symbol val="none"/>
        </c:marker>
      </c:pivotFmt>
      <c:pivotFmt>
        <c:idx val="561"/>
        <c:marker>
          <c:symbol val="none"/>
        </c:marker>
      </c:pivotFmt>
      <c:pivotFmt>
        <c:idx val="562"/>
        <c:marker>
          <c:symbol val="none"/>
        </c:marker>
      </c:pivotFmt>
      <c:pivotFmt>
        <c:idx val="563"/>
        <c:marker>
          <c:symbol val="none"/>
        </c:marker>
      </c:pivotFmt>
      <c:pivotFmt>
        <c:idx val="564"/>
        <c:marker>
          <c:symbol val="none"/>
        </c:marker>
      </c:pivotFmt>
      <c:pivotFmt>
        <c:idx val="565"/>
        <c:marker>
          <c:symbol val="none"/>
        </c:marker>
      </c:pivotFmt>
      <c:pivotFmt>
        <c:idx val="566"/>
        <c:marker>
          <c:symbol val="none"/>
        </c:marker>
      </c:pivotFmt>
      <c:pivotFmt>
        <c:idx val="567"/>
        <c:marker>
          <c:symbol val="none"/>
        </c:marker>
      </c:pivotFmt>
      <c:pivotFmt>
        <c:idx val="568"/>
        <c:marker>
          <c:symbol val="none"/>
        </c:marker>
      </c:pivotFmt>
      <c:pivotFmt>
        <c:idx val="569"/>
        <c:marker>
          <c:symbol val="none"/>
        </c:marker>
      </c:pivotFmt>
      <c:pivotFmt>
        <c:idx val="570"/>
        <c:marker>
          <c:symbol val="none"/>
        </c:marker>
      </c:pivotFmt>
      <c:pivotFmt>
        <c:idx val="571"/>
        <c:marker>
          <c:symbol val="none"/>
        </c:marker>
      </c:pivotFmt>
      <c:pivotFmt>
        <c:idx val="572"/>
        <c:marker>
          <c:symbol val="none"/>
        </c:marker>
      </c:pivotFmt>
      <c:pivotFmt>
        <c:idx val="573"/>
        <c:marker>
          <c:symbol val="none"/>
        </c:marker>
      </c:pivotFmt>
      <c:pivotFmt>
        <c:idx val="574"/>
        <c:marker>
          <c:symbol val="none"/>
        </c:marker>
      </c:pivotFmt>
      <c:pivotFmt>
        <c:idx val="575"/>
        <c:marker>
          <c:symbol val="none"/>
        </c:marker>
      </c:pivotFmt>
      <c:pivotFmt>
        <c:idx val="576"/>
        <c:marker>
          <c:symbol val="none"/>
        </c:marker>
      </c:pivotFmt>
      <c:pivotFmt>
        <c:idx val="577"/>
        <c:marker>
          <c:symbol val="none"/>
        </c:marker>
      </c:pivotFmt>
      <c:pivotFmt>
        <c:idx val="578"/>
        <c:marker>
          <c:symbol val="none"/>
        </c:marker>
      </c:pivotFmt>
      <c:pivotFmt>
        <c:idx val="579"/>
        <c:marker>
          <c:symbol val="none"/>
        </c:marker>
      </c:pivotFmt>
      <c:pivotFmt>
        <c:idx val="580"/>
        <c:marker>
          <c:symbol val="none"/>
        </c:marker>
      </c:pivotFmt>
      <c:pivotFmt>
        <c:idx val="581"/>
        <c:marker>
          <c:symbol val="none"/>
        </c:marker>
      </c:pivotFmt>
      <c:pivotFmt>
        <c:idx val="582"/>
        <c:marker>
          <c:symbol val="none"/>
        </c:marker>
      </c:pivotFmt>
      <c:pivotFmt>
        <c:idx val="583"/>
        <c:marker>
          <c:symbol val="none"/>
        </c:marker>
      </c:pivotFmt>
      <c:pivotFmt>
        <c:idx val="584"/>
        <c:marker>
          <c:symbol val="none"/>
        </c:marker>
      </c:pivotFmt>
      <c:pivotFmt>
        <c:idx val="585"/>
        <c:marker>
          <c:symbol val="none"/>
        </c:marker>
      </c:pivotFmt>
      <c:pivotFmt>
        <c:idx val="586"/>
        <c:marker>
          <c:symbol val="none"/>
        </c:marker>
      </c:pivotFmt>
      <c:pivotFmt>
        <c:idx val="587"/>
        <c:marker>
          <c:symbol val="none"/>
        </c:marker>
      </c:pivotFmt>
      <c:pivotFmt>
        <c:idx val="588"/>
        <c:marker>
          <c:symbol val="none"/>
        </c:marker>
      </c:pivotFmt>
      <c:pivotFmt>
        <c:idx val="589"/>
        <c:marker>
          <c:symbol val="none"/>
        </c:marker>
      </c:pivotFmt>
      <c:pivotFmt>
        <c:idx val="590"/>
        <c:marker>
          <c:symbol val="none"/>
        </c:marker>
      </c:pivotFmt>
      <c:pivotFmt>
        <c:idx val="591"/>
        <c:marker>
          <c:symbol val="none"/>
        </c:marker>
      </c:pivotFmt>
      <c:pivotFmt>
        <c:idx val="592"/>
        <c:marker>
          <c:symbol val="none"/>
        </c:marker>
      </c:pivotFmt>
      <c:pivotFmt>
        <c:idx val="593"/>
        <c:marker>
          <c:symbol val="none"/>
        </c:marker>
      </c:pivotFmt>
      <c:pivotFmt>
        <c:idx val="594"/>
        <c:marker>
          <c:symbol val="none"/>
        </c:marker>
      </c:pivotFmt>
      <c:pivotFmt>
        <c:idx val="595"/>
        <c:marker>
          <c:symbol val="none"/>
        </c:marker>
      </c:pivotFmt>
      <c:pivotFmt>
        <c:idx val="596"/>
        <c:marker>
          <c:symbol val="none"/>
        </c:marker>
      </c:pivotFmt>
      <c:pivotFmt>
        <c:idx val="597"/>
        <c:marker>
          <c:symbol val="none"/>
        </c:marker>
      </c:pivotFmt>
      <c:pivotFmt>
        <c:idx val="598"/>
        <c:marker>
          <c:symbol val="none"/>
        </c:marker>
      </c:pivotFmt>
      <c:pivotFmt>
        <c:idx val="599"/>
        <c:marker>
          <c:symbol val="none"/>
        </c:marker>
      </c:pivotFmt>
      <c:pivotFmt>
        <c:idx val="600"/>
        <c:marker>
          <c:symbol val="none"/>
        </c:marker>
      </c:pivotFmt>
      <c:pivotFmt>
        <c:idx val="601"/>
        <c:marker>
          <c:symbol val="none"/>
        </c:marker>
      </c:pivotFmt>
      <c:pivotFmt>
        <c:idx val="602"/>
        <c:marker>
          <c:symbol val="none"/>
        </c:marker>
      </c:pivotFmt>
      <c:pivotFmt>
        <c:idx val="603"/>
        <c:marker>
          <c:symbol val="none"/>
        </c:marker>
      </c:pivotFmt>
      <c:pivotFmt>
        <c:idx val="604"/>
        <c:marker>
          <c:symbol val="none"/>
        </c:marker>
      </c:pivotFmt>
      <c:pivotFmt>
        <c:idx val="605"/>
        <c:marker>
          <c:symbol val="none"/>
        </c:marker>
      </c:pivotFmt>
      <c:pivotFmt>
        <c:idx val="606"/>
        <c:marker>
          <c:symbol val="none"/>
        </c:marker>
      </c:pivotFmt>
      <c:pivotFmt>
        <c:idx val="607"/>
        <c:marker>
          <c:symbol val="none"/>
        </c:marker>
      </c:pivotFmt>
      <c:pivotFmt>
        <c:idx val="608"/>
        <c:marker>
          <c:symbol val="none"/>
        </c:marker>
      </c:pivotFmt>
      <c:pivotFmt>
        <c:idx val="609"/>
        <c:marker>
          <c:symbol val="none"/>
        </c:marker>
      </c:pivotFmt>
      <c:pivotFmt>
        <c:idx val="610"/>
        <c:marker>
          <c:symbol val="none"/>
        </c:marker>
      </c:pivotFmt>
      <c:pivotFmt>
        <c:idx val="611"/>
        <c:marker>
          <c:symbol val="none"/>
        </c:marker>
      </c:pivotFmt>
      <c:pivotFmt>
        <c:idx val="612"/>
        <c:marker>
          <c:symbol val="none"/>
        </c:marker>
      </c:pivotFmt>
      <c:pivotFmt>
        <c:idx val="613"/>
        <c:marker>
          <c:symbol val="none"/>
        </c:marker>
      </c:pivotFmt>
      <c:pivotFmt>
        <c:idx val="614"/>
        <c:marker>
          <c:symbol val="none"/>
        </c:marker>
      </c:pivotFmt>
      <c:pivotFmt>
        <c:idx val="615"/>
        <c:marker>
          <c:symbol val="none"/>
        </c:marker>
      </c:pivotFmt>
      <c:pivotFmt>
        <c:idx val="616"/>
        <c:marker>
          <c:symbol val="none"/>
        </c:marker>
      </c:pivotFmt>
      <c:pivotFmt>
        <c:idx val="617"/>
        <c:marker>
          <c:symbol val="none"/>
        </c:marker>
      </c:pivotFmt>
      <c:pivotFmt>
        <c:idx val="618"/>
        <c:marker>
          <c:symbol val="none"/>
        </c:marker>
      </c:pivotFmt>
      <c:pivotFmt>
        <c:idx val="619"/>
        <c:marker>
          <c:symbol val="none"/>
        </c:marker>
      </c:pivotFmt>
      <c:pivotFmt>
        <c:idx val="620"/>
        <c:marker>
          <c:symbol val="none"/>
        </c:marker>
      </c:pivotFmt>
      <c:pivotFmt>
        <c:idx val="621"/>
        <c:marker>
          <c:symbol val="none"/>
        </c:marker>
      </c:pivotFmt>
      <c:pivotFmt>
        <c:idx val="622"/>
        <c:marker>
          <c:symbol val="none"/>
        </c:marker>
      </c:pivotFmt>
      <c:pivotFmt>
        <c:idx val="623"/>
        <c:marker>
          <c:symbol val="none"/>
        </c:marker>
      </c:pivotFmt>
      <c:pivotFmt>
        <c:idx val="624"/>
        <c:marker>
          <c:symbol val="none"/>
        </c:marker>
      </c:pivotFmt>
      <c:pivotFmt>
        <c:idx val="625"/>
        <c:marker>
          <c:symbol val="none"/>
        </c:marker>
      </c:pivotFmt>
      <c:pivotFmt>
        <c:idx val="626"/>
        <c:marker>
          <c:symbol val="none"/>
        </c:marker>
      </c:pivotFmt>
      <c:pivotFmt>
        <c:idx val="627"/>
        <c:marker>
          <c:symbol val="none"/>
        </c:marker>
      </c:pivotFmt>
      <c:pivotFmt>
        <c:idx val="628"/>
        <c:marker>
          <c:symbol val="none"/>
        </c:marker>
      </c:pivotFmt>
      <c:pivotFmt>
        <c:idx val="629"/>
        <c:marker>
          <c:symbol val="none"/>
        </c:marker>
      </c:pivotFmt>
      <c:pivotFmt>
        <c:idx val="630"/>
        <c:marker>
          <c:symbol val="none"/>
        </c:marker>
      </c:pivotFmt>
      <c:pivotFmt>
        <c:idx val="631"/>
        <c:marker>
          <c:symbol val="none"/>
        </c:marker>
      </c:pivotFmt>
      <c:pivotFmt>
        <c:idx val="632"/>
        <c:marker>
          <c:symbol val="none"/>
        </c:marker>
      </c:pivotFmt>
      <c:pivotFmt>
        <c:idx val="633"/>
        <c:marker>
          <c:symbol val="none"/>
        </c:marker>
      </c:pivotFmt>
      <c:pivotFmt>
        <c:idx val="634"/>
        <c:marker>
          <c:symbol val="none"/>
        </c:marker>
      </c:pivotFmt>
      <c:pivotFmt>
        <c:idx val="635"/>
        <c:marker>
          <c:symbol val="none"/>
        </c:marker>
      </c:pivotFmt>
      <c:pivotFmt>
        <c:idx val="636"/>
        <c:marker>
          <c:symbol val="none"/>
        </c:marker>
      </c:pivotFmt>
      <c:pivotFmt>
        <c:idx val="637"/>
        <c:marker>
          <c:symbol val="none"/>
        </c:marker>
      </c:pivotFmt>
      <c:pivotFmt>
        <c:idx val="638"/>
        <c:marker>
          <c:symbol val="none"/>
        </c:marker>
      </c:pivotFmt>
      <c:pivotFmt>
        <c:idx val="639"/>
        <c:marker>
          <c:symbol val="none"/>
        </c:marker>
      </c:pivotFmt>
      <c:pivotFmt>
        <c:idx val="640"/>
        <c:marker>
          <c:symbol val="none"/>
        </c:marker>
      </c:pivotFmt>
      <c:pivotFmt>
        <c:idx val="641"/>
        <c:marker>
          <c:symbol val="none"/>
        </c:marker>
      </c:pivotFmt>
      <c:pivotFmt>
        <c:idx val="642"/>
        <c:marker>
          <c:symbol val="none"/>
        </c:marker>
      </c:pivotFmt>
      <c:pivotFmt>
        <c:idx val="643"/>
        <c:marker>
          <c:symbol val="none"/>
        </c:marker>
      </c:pivotFmt>
      <c:pivotFmt>
        <c:idx val="644"/>
        <c:marker>
          <c:symbol val="none"/>
        </c:marker>
      </c:pivotFmt>
      <c:pivotFmt>
        <c:idx val="645"/>
        <c:marker>
          <c:symbol val="none"/>
        </c:marker>
      </c:pivotFmt>
      <c:pivotFmt>
        <c:idx val="646"/>
        <c:marker>
          <c:symbol val="none"/>
        </c:marker>
      </c:pivotFmt>
      <c:pivotFmt>
        <c:idx val="647"/>
        <c:marker>
          <c:symbol val="none"/>
        </c:marker>
      </c:pivotFmt>
      <c:pivotFmt>
        <c:idx val="648"/>
        <c:marker>
          <c:symbol val="none"/>
        </c:marker>
      </c:pivotFmt>
      <c:pivotFmt>
        <c:idx val="649"/>
        <c:marker>
          <c:symbol val="none"/>
        </c:marker>
      </c:pivotFmt>
      <c:pivotFmt>
        <c:idx val="650"/>
        <c:marker>
          <c:symbol val="none"/>
        </c:marker>
      </c:pivotFmt>
      <c:pivotFmt>
        <c:idx val="651"/>
        <c:marker>
          <c:symbol val="none"/>
        </c:marker>
      </c:pivotFmt>
      <c:pivotFmt>
        <c:idx val="652"/>
        <c:marker>
          <c:symbol val="none"/>
        </c:marker>
      </c:pivotFmt>
      <c:pivotFmt>
        <c:idx val="653"/>
        <c:marker>
          <c:symbol val="none"/>
        </c:marker>
      </c:pivotFmt>
      <c:pivotFmt>
        <c:idx val="654"/>
        <c:marker>
          <c:symbol val="none"/>
        </c:marker>
      </c:pivotFmt>
      <c:pivotFmt>
        <c:idx val="655"/>
        <c:marker>
          <c:symbol val="none"/>
        </c:marker>
      </c:pivotFmt>
      <c:pivotFmt>
        <c:idx val="656"/>
        <c:marker>
          <c:symbol val="none"/>
        </c:marker>
      </c:pivotFmt>
      <c:pivotFmt>
        <c:idx val="657"/>
        <c:marker>
          <c:symbol val="none"/>
        </c:marker>
      </c:pivotFmt>
      <c:pivotFmt>
        <c:idx val="658"/>
        <c:marker>
          <c:symbol val="none"/>
        </c:marker>
      </c:pivotFmt>
      <c:pivotFmt>
        <c:idx val="659"/>
        <c:marker>
          <c:symbol val="none"/>
        </c:marker>
      </c:pivotFmt>
      <c:pivotFmt>
        <c:idx val="660"/>
        <c:marker>
          <c:symbol val="none"/>
        </c:marker>
      </c:pivotFmt>
      <c:pivotFmt>
        <c:idx val="661"/>
        <c:marker>
          <c:symbol val="none"/>
        </c:marker>
      </c:pivotFmt>
      <c:pivotFmt>
        <c:idx val="662"/>
        <c:marker>
          <c:symbol val="none"/>
        </c:marker>
      </c:pivotFmt>
      <c:pivotFmt>
        <c:idx val="663"/>
        <c:marker>
          <c:symbol val="none"/>
        </c:marker>
      </c:pivotFmt>
      <c:pivotFmt>
        <c:idx val="664"/>
        <c:marker>
          <c:symbol val="none"/>
        </c:marker>
      </c:pivotFmt>
      <c:pivotFmt>
        <c:idx val="665"/>
        <c:marker>
          <c:symbol val="none"/>
        </c:marker>
      </c:pivotFmt>
      <c:pivotFmt>
        <c:idx val="666"/>
        <c:marker>
          <c:symbol val="none"/>
        </c:marker>
      </c:pivotFmt>
      <c:pivotFmt>
        <c:idx val="667"/>
        <c:marker>
          <c:symbol val="none"/>
        </c:marker>
      </c:pivotFmt>
      <c:pivotFmt>
        <c:idx val="668"/>
        <c:marker>
          <c:symbol val="none"/>
        </c:marker>
      </c:pivotFmt>
      <c:pivotFmt>
        <c:idx val="669"/>
        <c:marker>
          <c:symbol val="none"/>
        </c:marker>
      </c:pivotFmt>
      <c:pivotFmt>
        <c:idx val="670"/>
        <c:marker>
          <c:symbol val="none"/>
        </c:marker>
      </c:pivotFmt>
      <c:pivotFmt>
        <c:idx val="671"/>
        <c:marker>
          <c:symbol val="none"/>
        </c:marker>
      </c:pivotFmt>
      <c:pivotFmt>
        <c:idx val="672"/>
        <c:marker>
          <c:symbol val="none"/>
        </c:marker>
      </c:pivotFmt>
      <c:pivotFmt>
        <c:idx val="673"/>
        <c:marker>
          <c:symbol val="none"/>
        </c:marker>
      </c:pivotFmt>
      <c:pivotFmt>
        <c:idx val="674"/>
        <c:marker>
          <c:symbol val="none"/>
        </c:marker>
      </c:pivotFmt>
      <c:pivotFmt>
        <c:idx val="675"/>
        <c:marker>
          <c:symbol val="none"/>
        </c:marker>
      </c:pivotFmt>
      <c:pivotFmt>
        <c:idx val="676"/>
        <c:marker>
          <c:symbol val="none"/>
        </c:marker>
      </c:pivotFmt>
      <c:pivotFmt>
        <c:idx val="677"/>
        <c:marker>
          <c:symbol val="none"/>
        </c:marker>
      </c:pivotFmt>
      <c:pivotFmt>
        <c:idx val="678"/>
        <c:marker>
          <c:symbol val="none"/>
        </c:marker>
      </c:pivotFmt>
      <c:pivotFmt>
        <c:idx val="679"/>
        <c:marker>
          <c:symbol val="none"/>
        </c:marker>
      </c:pivotFmt>
      <c:pivotFmt>
        <c:idx val="680"/>
        <c:marker>
          <c:symbol val="none"/>
        </c:marker>
      </c:pivotFmt>
      <c:pivotFmt>
        <c:idx val="681"/>
        <c:marker>
          <c:symbol val="none"/>
        </c:marker>
      </c:pivotFmt>
      <c:pivotFmt>
        <c:idx val="682"/>
        <c:marker>
          <c:symbol val="none"/>
        </c:marker>
      </c:pivotFmt>
      <c:pivotFmt>
        <c:idx val="683"/>
        <c:marker>
          <c:symbol val="none"/>
        </c:marker>
      </c:pivotFmt>
      <c:pivotFmt>
        <c:idx val="684"/>
        <c:marker>
          <c:symbol val="none"/>
        </c:marker>
      </c:pivotFmt>
      <c:pivotFmt>
        <c:idx val="685"/>
        <c:marker>
          <c:symbol val="none"/>
        </c:marker>
      </c:pivotFmt>
      <c:pivotFmt>
        <c:idx val="686"/>
        <c:marker>
          <c:symbol val="none"/>
        </c:marker>
      </c:pivotFmt>
      <c:pivotFmt>
        <c:idx val="687"/>
        <c:marker>
          <c:symbol val="none"/>
        </c:marker>
      </c:pivotFmt>
      <c:pivotFmt>
        <c:idx val="688"/>
        <c:marker>
          <c:symbol val="none"/>
        </c:marker>
      </c:pivotFmt>
      <c:pivotFmt>
        <c:idx val="689"/>
        <c:marker>
          <c:symbol val="none"/>
        </c:marker>
      </c:pivotFmt>
      <c:pivotFmt>
        <c:idx val="690"/>
        <c:marker>
          <c:symbol val="none"/>
        </c:marker>
      </c:pivotFmt>
      <c:pivotFmt>
        <c:idx val="691"/>
        <c:marker>
          <c:symbol val="none"/>
        </c:marker>
      </c:pivotFmt>
      <c:pivotFmt>
        <c:idx val="692"/>
        <c:marker>
          <c:symbol val="none"/>
        </c:marker>
      </c:pivotFmt>
      <c:pivotFmt>
        <c:idx val="693"/>
        <c:marker>
          <c:symbol val="none"/>
        </c:marker>
      </c:pivotFmt>
      <c:pivotFmt>
        <c:idx val="694"/>
        <c:marker>
          <c:symbol val="none"/>
        </c:marker>
      </c:pivotFmt>
      <c:pivotFmt>
        <c:idx val="695"/>
        <c:marker>
          <c:symbol val="none"/>
        </c:marker>
      </c:pivotFmt>
      <c:pivotFmt>
        <c:idx val="696"/>
        <c:marker>
          <c:symbol val="none"/>
        </c:marker>
      </c:pivotFmt>
      <c:pivotFmt>
        <c:idx val="697"/>
        <c:marker>
          <c:symbol val="none"/>
        </c:marker>
      </c:pivotFmt>
      <c:pivotFmt>
        <c:idx val="698"/>
        <c:marker>
          <c:symbol val="none"/>
        </c:marker>
      </c:pivotFmt>
      <c:pivotFmt>
        <c:idx val="699"/>
        <c:marker>
          <c:symbol val="none"/>
        </c:marker>
      </c:pivotFmt>
      <c:pivotFmt>
        <c:idx val="700"/>
        <c:marker>
          <c:symbol val="none"/>
        </c:marker>
      </c:pivotFmt>
      <c:pivotFmt>
        <c:idx val="701"/>
        <c:marker>
          <c:symbol val="none"/>
        </c:marker>
      </c:pivotFmt>
      <c:pivotFmt>
        <c:idx val="702"/>
        <c:marker>
          <c:symbol val="none"/>
        </c:marker>
      </c:pivotFmt>
      <c:pivotFmt>
        <c:idx val="703"/>
        <c:marker>
          <c:symbol val="none"/>
        </c:marker>
      </c:pivotFmt>
      <c:pivotFmt>
        <c:idx val="704"/>
        <c:marker>
          <c:symbol val="none"/>
        </c:marker>
      </c:pivotFmt>
      <c:pivotFmt>
        <c:idx val="705"/>
        <c:marker>
          <c:symbol val="none"/>
        </c:marker>
      </c:pivotFmt>
      <c:pivotFmt>
        <c:idx val="706"/>
        <c:marker>
          <c:symbol val="none"/>
        </c:marker>
      </c:pivotFmt>
      <c:pivotFmt>
        <c:idx val="707"/>
        <c:marker>
          <c:symbol val="none"/>
        </c:marker>
      </c:pivotFmt>
      <c:pivotFmt>
        <c:idx val="708"/>
        <c:marker>
          <c:symbol val="none"/>
        </c:marker>
      </c:pivotFmt>
      <c:pivotFmt>
        <c:idx val="709"/>
        <c:marker>
          <c:symbol val="none"/>
        </c:marker>
      </c:pivotFmt>
      <c:pivotFmt>
        <c:idx val="710"/>
        <c:marker>
          <c:symbol val="none"/>
        </c:marker>
      </c:pivotFmt>
      <c:pivotFmt>
        <c:idx val="711"/>
        <c:marker>
          <c:symbol val="none"/>
        </c:marker>
      </c:pivotFmt>
    </c:pivotFmts>
    <c:plotArea>
      <c:layout/>
      <c:lineChart>
        <c:grouping val="standard"/>
        <c:varyColors val="0"/>
        <c:ser>
          <c:idx val="0"/>
          <c:order val="0"/>
          <c:tx>
            <c:strRef>
              <c:f>'comparators (2)'!$B$37:$B$38</c:f>
              <c:strCache>
                <c:ptCount val="1"/>
                <c:pt idx="0">
                  <c:v>A_COMPLETION_ASSESSMENT</c:v>
                </c:pt>
              </c:strCache>
            </c:strRef>
          </c:tx>
          <c:cat>
            <c:multiLvlStrRef>
              <c:f>'comparators (2)'!$A$39:$A$58</c:f>
              <c:multiLvlStrCache>
                <c:ptCount val="17"/>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pt idx="12">
                    <c:v>APRIL</c:v>
                  </c:pt>
                  <c:pt idx="13">
                    <c:v>MAY</c:v>
                  </c:pt>
                  <c:pt idx="14">
                    <c:v>JUNE</c:v>
                  </c:pt>
                  <c:pt idx="15">
                    <c:v>JULY</c:v>
                  </c:pt>
                  <c:pt idx="16">
                    <c:v>AUGUST</c:v>
                  </c:pt>
                </c:lvl>
                <c:lvl>
                  <c:pt idx="0">
                    <c:v>2017-18</c:v>
                  </c:pt>
                  <c:pt idx="12">
                    <c:v>2018-19</c:v>
                  </c:pt>
                </c:lvl>
              </c:multiLvlStrCache>
            </c:multiLvlStrRef>
          </c:cat>
          <c:val>
            <c:numRef>
              <c:f>'comparators (2)'!$B$39:$B$58</c:f>
              <c:numCache>
                <c:formatCode>General</c:formatCode>
                <c:ptCount val="17"/>
                <c:pt idx="0">
                  <c:v>620</c:v>
                </c:pt>
                <c:pt idx="1">
                  <c:v>862</c:v>
                </c:pt>
                <c:pt idx="2">
                  <c:v>973</c:v>
                </c:pt>
                <c:pt idx="3">
                  <c:v>1199</c:v>
                </c:pt>
                <c:pt idx="4">
                  <c:v>752</c:v>
                </c:pt>
                <c:pt idx="5">
                  <c:v>583</c:v>
                </c:pt>
                <c:pt idx="6">
                  <c:v>404</c:v>
                </c:pt>
                <c:pt idx="7">
                  <c:v>632</c:v>
                </c:pt>
                <c:pt idx="8">
                  <c:v>516</c:v>
                </c:pt>
                <c:pt idx="9">
                  <c:v>461</c:v>
                </c:pt>
                <c:pt idx="10">
                  <c:v>412</c:v>
                </c:pt>
                <c:pt idx="11">
                  <c:v>499</c:v>
                </c:pt>
                <c:pt idx="12">
                  <c:v>349</c:v>
                </c:pt>
                <c:pt idx="13">
                  <c:v>428</c:v>
                </c:pt>
                <c:pt idx="14">
                  <c:v>307</c:v>
                </c:pt>
                <c:pt idx="15">
                  <c:v>277</c:v>
                </c:pt>
                <c:pt idx="16">
                  <c:v>376</c:v>
                </c:pt>
              </c:numCache>
            </c:numRef>
          </c:val>
          <c:smooth val="0"/>
        </c:ser>
        <c:ser>
          <c:idx val="1"/>
          <c:order val="1"/>
          <c:tx>
            <c:strRef>
              <c:f>'comparators (2)'!$C$37:$C$38</c:f>
              <c:strCache>
                <c:ptCount val="1"/>
                <c:pt idx="0">
                  <c:v>DI_RESIDENTIAL_HOME</c:v>
                </c:pt>
              </c:strCache>
            </c:strRef>
          </c:tx>
          <c:cat>
            <c:multiLvlStrRef>
              <c:f>'comparators (2)'!$A$39:$A$58</c:f>
              <c:multiLvlStrCache>
                <c:ptCount val="17"/>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pt idx="12">
                    <c:v>APRIL</c:v>
                  </c:pt>
                  <c:pt idx="13">
                    <c:v>MAY</c:v>
                  </c:pt>
                  <c:pt idx="14">
                    <c:v>JUNE</c:v>
                  </c:pt>
                  <c:pt idx="15">
                    <c:v>JULY</c:v>
                  </c:pt>
                  <c:pt idx="16">
                    <c:v>AUGUST</c:v>
                  </c:pt>
                </c:lvl>
                <c:lvl>
                  <c:pt idx="0">
                    <c:v>2017-18</c:v>
                  </c:pt>
                  <c:pt idx="12">
                    <c:v>2018-19</c:v>
                  </c:pt>
                </c:lvl>
              </c:multiLvlStrCache>
            </c:multiLvlStrRef>
          </c:cat>
          <c:val>
            <c:numRef>
              <c:f>'comparators (2)'!$C$39:$C$58</c:f>
              <c:numCache>
                <c:formatCode>General</c:formatCode>
                <c:ptCount val="17"/>
                <c:pt idx="0">
                  <c:v>509</c:v>
                </c:pt>
                <c:pt idx="1">
                  <c:v>594</c:v>
                </c:pt>
                <c:pt idx="2">
                  <c:v>454</c:v>
                </c:pt>
                <c:pt idx="3">
                  <c:v>531</c:v>
                </c:pt>
                <c:pt idx="4">
                  <c:v>505</c:v>
                </c:pt>
                <c:pt idx="5">
                  <c:v>493</c:v>
                </c:pt>
                <c:pt idx="6">
                  <c:v>508</c:v>
                </c:pt>
                <c:pt idx="7">
                  <c:v>437</c:v>
                </c:pt>
                <c:pt idx="8">
                  <c:v>569</c:v>
                </c:pt>
                <c:pt idx="9">
                  <c:v>648</c:v>
                </c:pt>
                <c:pt idx="10">
                  <c:v>328</c:v>
                </c:pt>
                <c:pt idx="11">
                  <c:v>221</c:v>
                </c:pt>
                <c:pt idx="12">
                  <c:v>206</c:v>
                </c:pt>
                <c:pt idx="13">
                  <c:v>268</c:v>
                </c:pt>
                <c:pt idx="14">
                  <c:v>387</c:v>
                </c:pt>
                <c:pt idx="15">
                  <c:v>303</c:v>
                </c:pt>
                <c:pt idx="16">
                  <c:v>254</c:v>
                </c:pt>
              </c:numCache>
            </c:numRef>
          </c:val>
          <c:smooth val="0"/>
        </c:ser>
        <c:ser>
          <c:idx val="2"/>
          <c:order val="2"/>
          <c:tx>
            <c:strRef>
              <c:f>'comparators (2)'!$D$37:$D$38</c:f>
              <c:strCache>
                <c:ptCount val="1"/>
                <c:pt idx="0">
                  <c:v>DII_NURSING_HOME</c:v>
                </c:pt>
              </c:strCache>
            </c:strRef>
          </c:tx>
          <c:cat>
            <c:multiLvlStrRef>
              <c:f>'comparators (2)'!$A$39:$A$58</c:f>
              <c:multiLvlStrCache>
                <c:ptCount val="17"/>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pt idx="12">
                    <c:v>APRIL</c:v>
                  </c:pt>
                  <c:pt idx="13">
                    <c:v>MAY</c:v>
                  </c:pt>
                  <c:pt idx="14">
                    <c:v>JUNE</c:v>
                  </c:pt>
                  <c:pt idx="15">
                    <c:v>JULY</c:v>
                  </c:pt>
                  <c:pt idx="16">
                    <c:v>AUGUST</c:v>
                  </c:pt>
                </c:lvl>
                <c:lvl>
                  <c:pt idx="0">
                    <c:v>2017-18</c:v>
                  </c:pt>
                  <c:pt idx="12">
                    <c:v>2018-19</c:v>
                  </c:pt>
                </c:lvl>
              </c:multiLvlStrCache>
            </c:multiLvlStrRef>
          </c:cat>
          <c:val>
            <c:numRef>
              <c:f>'comparators (2)'!$D$39:$D$58</c:f>
              <c:numCache>
                <c:formatCode>General</c:formatCode>
                <c:ptCount val="17"/>
                <c:pt idx="0">
                  <c:v>259</c:v>
                </c:pt>
                <c:pt idx="1">
                  <c:v>262</c:v>
                </c:pt>
                <c:pt idx="2">
                  <c:v>222</c:v>
                </c:pt>
                <c:pt idx="3">
                  <c:v>238</c:v>
                </c:pt>
                <c:pt idx="4">
                  <c:v>321</c:v>
                </c:pt>
                <c:pt idx="5">
                  <c:v>277</c:v>
                </c:pt>
                <c:pt idx="6">
                  <c:v>313</c:v>
                </c:pt>
                <c:pt idx="7">
                  <c:v>241</c:v>
                </c:pt>
                <c:pt idx="8">
                  <c:v>195</c:v>
                </c:pt>
                <c:pt idx="9">
                  <c:v>142</c:v>
                </c:pt>
                <c:pt idx="10">
                  <c:v>119</c:v>
                </c:pt>
                <c:pt idx="11">
                  <c:v>89</c:v>
                </c:pt>
                <c:pt idx="12">
                  <c:v>97</c:v>
                </c:pt>
                <c:pt idx="13">
                  <c:v>130</c:v>
                </c:pt>
                <c:pt idx="14">
                  <c:v>154</c:v>
                </c:pt>
                <c:pt idx="15">
                  <c:v>126</c:v>
                </c:pt>
                <c:pt idx="16">
                  <c:v>254</c:v>
                </c:pt>
              </c:numCache>
            </c:numRef>
          </c:val>
          <c:smooth val="0"/>
        </c:ser>
        <c:ser>
          <c:idx val="3"/>
          <c:order val="3"/>
          <c:tx>
            <c:strRef>
              <c:f>'comparators (2)'!$E$37:$E$38</c:f>
              <c:strCache>
                <c:ptCount val="1"/>
                <c:pt idx="0">
                  <c:v>E_CARE_PACKAGE_IN_HOME</c:v>
                </c:pt>
              </c:strCache>
            </c:strRef>
          </c:tx>
          <c:cat>
            <c:multiLvlStrRef>
              <c:f>'comparators (2)'!$A$39:$A$58</c:f>
              <c:multiLvlStrCache>
                <c:ptCount val="17"/>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pt idx="12">
                    <c:v>APRIL</c:v>
                  </c:pt>
                  <c:pt idx="13">
                    <c:v>MAY</c:v>
                  </c:pt>
                  <c:pt idx="14">
                    <c:v>JUNE</c:v>
                  </c:pt>
                  <c:pt idx="15">
                    <c:v>JULY</c:v>
                  </c:pt>
                  <c:pt idx="16">
                    <c:v>AUGUST</c:v>
                  </c:pt>
                </c:lvl>
                <c:lvl>
                  <c:pt idx="0">
                    <c:v>2017-18</c:v>
                  </c:pt>
                  <c:pt idx="12">
                    <c:v>2018-19</c:v>
                  </c:pt>
                </c:lvl>
              </c:multiLvlStrCache>
            </c:multiLvlStrRef>
          </c:cat>
          <c:val>
            <c:numRef>
              <c:f>'comparators (2)'!$E$39:$E$58</c:f>
              <c:numCache>
                <c:formatCode>General</c:formatCode>
                <c:ptCount val="17"/>
                <c:pt idx="0">
                  <c:v>413</c:v>
                </c:pt>
                <c:pt idx="1">
                  <c:v>519</c:v>
                </c:pt>
                <c:pt idx="2">
                  <c:v>449</c:v>
                </c:pt>
                <c:pt idx="3">
                  <c:v>536</c:v>
                </c:pt>
                <c:pt idx="4">
                  <c:v>466</c:v>
                </c:pt>
                <c:pt idx="5">
                  <c:v>616</c:v>
                </c:pt>
                <c:pt idx="6">
                  <c:v>422</c:v>
                </c:pt>
                <c:pt idx="7">
                  <c:v>415</c:v>
                </c:pt>
                <c:pt idx="8">
                  <c:v>406</c:v>
                </c:pt>
                <c:pt idx="9">
                  <c:v>255</c:v>
                </c:pt>
                <c:pt idx="10">
                  <c:v>291</c:v>
                </c:pt>
                <c:pt idx="11">
                  <c:v>367</c:v>
                </c:pt>
                <c:pt idx="12">
                  <c:v>281</c:v>
                </c:pt>
                <c:pt idx="13">
                  <c:v>218</c:v>
                </c:pt>
                <c:pt idx="14">
                  <c:v>187</c:v>
                </c:pt>
                <c:pt idx="15">
                  <c:v>260</c:v>
                </c:pt>
                <c:pt idx="16">
                  <c:v>267</c:v>
                </c:pt>
              </c:numCache>
            </c:numRef>
          </c:val>
          <c:smooth val="0"/>
        </c:ser>
        <c:dLbls>
          <c:showLegendKey val="0"/>
          <c:showVal val="0"/>
          <c:showCatName val="0"/>
          <c:showSerName val="0"/>
          <c:showPercent val="0"/>
          <c:showBubbleSize val="0"/>
        </c:dLbls>
        <c:marker val="1"/>
        <c:smooth val="0"/>
        <c:axId val="344006896"/>
        <c:axId val="344007288"/>
      </c:lineChart>
      <c:catAx>
        <c:axId val="344006896"/>
        <c:scaling>
          <c:orientation val="minMax"/>
        </c:scaling>
        <c:delete val="0"/>
        <c:axPos val="b"/>
        <c:numFmt formatCode="General" sourceLinked="0"/>
        <c:majorTickMark val="out"/>
        <c:minorTickMark val="none"/>
        <c:tickLblPos val="nextTo"/>
        <c:txPr>
          <a:bodyPr/>
          <a:lstStyle/>
          <a:p>
            <a:pPr>
              <a:defRPr sz="800" baseline="0"/>
            </a:pPr>
            <a:endParaRPr lang="en-US"/>
          </a:p>
        </c:txPr>
        <c:crossAx val="344007288"/>
        <c:crosses val="autoZero"/>
        <c:auto val="1"/>
        <c:lblAlgn val="ctr"/>
        <c:lblOffset val="100"/>
        <c:noMultiLvlLbl val="0"/>
      </c:catAx>
      <c:valAx>
        <c:axId val="344007288"/>
        <c:scaling>
          <c:orientation val="minMax"/>
        </c:scaling>
        <c:delete val="0"/>
        <c:axPos val="l"/>
        <c:majorGridlines/>
        <c:numFmt formatCode="General" sourceLinked="1"/>
        <c:majorTickMark val="out"/>
        <c:minorTickMark val="none"/>
        <c:tickLblPos val="nextTo"/>
        <c:crossAx val="344006896"/>
        <c:crosses val="autoZero"/>
        <c:crossBetween val="between"/>
      </c:valAx>
    </c:plotArea>
    <c:legend>
      <c:legendPos val="b"/>
      <c:layout/>
      <c:overlay val="0"/>
      <c:txPr>
        <a:bodyPr/>
        <a:lstStyle/>
        <a:p>
          <a:pPr>
            <a:defRPr sz="900" baseline="0"/>
          </a:pPr>
          <a:endParaRPr lang="en-US"/>
        </a:p>
      </c:txPr>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[DTOC 2016_17 to 2018_19 revised1.xlsx]comparators (5)!PivotTable2</c:name>
    <c:fmtId val="660"/>
  </c:pivotSource>
  <c:chart>
    <c:title>
      <c:tx>
        <c:rich>
          <a:bodyPr/>
          <a:lstStyle/>
          <a:p>
            <a:pPr>
              <a:defRPr/>
            </a:pPr>
            <a:r>
              <a:rPr lang="en-GB" sz="1200" b="1" i="0" baseline="0">
                <a:effectLst/>
              </a:rPr>
              <a:t>Assessment Completion social care delays </a:t>
            </a:r>
            <a:endParaRPr lang="en-GB" sz="1200">
              <a:effectLst/>
            </a:endParaRPr>
          </a:p>
          <a:p>
            <a:pPr>
              <a:defRPr/>
            </a:pPr>
            <a:r>
              <a:rPr lang="en-GB" sz="1200" b="1" i="0" baseline="0">
                <a:effectLst/>
              </a:rPr>
              <a:t>Apr-17 to  Aug-18 - Lancashire residents</a:t>
            </a:r>
            <a:endParaRPr lang="en-GB" sz="1200">
              <a:effectLst/>
            </a:endParaRPr>
          </a:p>
        </c:rich>
      </c:tx>
      <c:layout>
        <c:manualLayout>
          <c:xMode val="edge"/>
          <c:yMode val="edge"/>
          <c:x val="0.25195087033189589"/>
          <c:y val="2.7062770322723743E-2"/>
        </c:manualLayout>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pivotFmt>
      <c:pivotFmt>
        <c:idx val="61"/>
        <c:marker>
          <c:symbol val="none"/>
        </c:marker>
      </c:pivotFmt>
      <c:pivotFmt>
        <c:idx val="62"/>
        <c:marker>
          <c:symbol val="none"/>
        </c:marker>
      </c:pivotFmt>
      <c:pivotFmt>
        <c:idx val="63"/>
        <c:marker>
          <c:symbol val="none"/>
        </c:marker>
      </c:pivotFmt>
      <c:pivotFmt>
        <c:idx val="64"/>
        <c:marker>
          <c:symbol val="none"/>
        </c:marker>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pivotFmt>
      <c:pivotFmt>
        <c:idx val="76"/>
        <c:marker>
          <c:symbol val="none"/>
        </c:marker>
      </c:pivotFmt>
      <c:pivotFmt>
        <c:idx val="77"/>
        <c:marker>
          <c:symbol val="none"/>
        </c:marker>
      </c:pivotFmt>
      <c:pivotFmt>
        <c:idx val="78"/>
        <c:marker>
          <c:symbol val="none"/>
        </c:marker>
      </c:pivotFmt>
      <c:pivotFmt>
        <c:idx val="79"/>
        <c:marker>
          <c:symbol val="none"/>
        </c:marker>
      </c:pivotFmt>
      <c:pivotFmt>
        <c:idx val="80"/>
        <c:marker>
          <c:symbol val="none"/>
        </c:marker>
      </c:pivotFmt>
      <c:pivotFmt>
        <c:idx val="81"/>
        <c:marker>
          <c:symbol val="none"/>
        </c:marker>
      </c:pivotFmt>
      <c:pivotFmt>
        <c:idx val="82"/>
        <c:marker>
          <c:symbol val="none"/>
        </c:marker>
      </c:pivotFmt>
      <c:pivotFmt>
        <c:idx val="83"/>
        <c:marker>
          <c:symbol val="none"/>
        </c:marker>
      </c:pivotFmt>
      <c:pivotFmt>
        <c:idx val="84"/>
        <c:marker>
          <c:symbol val="none"/>
        </c:marker>
      </c:pivotFmt>
      <c:pivotFmt>
        <c:idx val="85"/>
        <c:marker>
          <c:symbol val="none"/>
        </c:marker>
      </c:pivotFmt>
      <c:pivotFmt>
        <c:idx val="86"/>
        <c:marker>
          <c:symbol val="none"/>
        </c:marker>
      </c:pivotFmt>
      <c:pivotFmt>
        <c:idx val="87"/>
        <c:marker>
          <c:symbol val="none"/>
        </c:marker>
      </c:pivotFmt>
      <c:pivotFmt>
        <c:idx val="88"/>
        <c:marker>
          <c:symbol val="none"/>
        </c:marker>
      </c:pivotFmt>
      <c:pivotFmt>
        <c:idx val="89"/>
        <c:marker>
          <c:symbol val="none"/>
        </c:marker>
      </c:pivotFmt>
      <c:pivotFmt>
        <c:idx val="90"/>
        <c:marker>
          <c:symbol val="none"/>
        </c:marker>
      </c:pivotFmt>
      <c:pivotFmt>
        <c:idx val="91"/>
        <c:marker>
          <c:symbol val="none"/>
        </c:marker>
      </c:pivotFmt>
      <c:pivotFmt>
        <c:idx val="92"/>
        <c:marker>
          <c:symbol val="none"/>
        </c:marker>
      </c:pivotFmt>
      <c:pivotFmt>
        <c:idx val="93"/>
        <c:marker>
          <c:symbol val="none"/>
        </c:marker>
      </c:pivotFmt>
      <c:pivotFmt>
        <c:idx val="94"/>
        <c:marker>
          <c:symbol val="none"/>
        </c:marker>
      </c:pivotFmt>
      <c:pivotFmt>
        <c:idx val="95"/>
        <c:marker>
          <c:symbol val="none"/>
        </c:marker>
      </c:pivotFmt>
      <c:pivotFmt>
        <c:idx val="96"/>
        <c:marker>
          <c:symbol val="none"/>
        </c:marker>
      </c:pivotFmt>
      <c:pivotFmt>
        <c:idx val="97"/>
        <c:marker>
          <c:symbol val="none"/>
        </c:marker>
      </c:pivotFmt>
      <c:pivotFmt>
        <c:idx val="98"/>
        <c:marker>
          <c:symbol val="none"/>
        </c:marker>
      </c:pivotFmt>
      <c:pivotFmt>
        <c:idx val="99"/>
        <c:marker>
          <c:symbol val="none"/>
        </c:marker>
      </c:pivotFmt>
      <c:pivotFmt>
        <c:idx val="100"/>
        <c:marker>
          <c:symbol val="none"/>
        </c:marker>
      </c:pivotFmt>
      <c:pivotFmt>
        <c:idx val="101"/>
      </c:pivotFmt>
      <c:pivotFmt>
        <c:idx val="102"/>
        <c:marker>
          <c:symbol val="none"/>
        </c:marker>
      </c:pivotFmt>
      <c:pivotFmt>
        <c:idx val="103"/>
        <c:marker>
          <c:symbol val="none"/>
        </c:marker>
      </c:pivotFmt>
      <c:pivotFmt>
        <c:idx val="104"/>
        <c:marker>
          <c:symbol val="none"/>
        </c:marker>
      </c:pivotFmt>
      <c:pivotFmt>
        <c:idx val="105"/>
      </c:pivotFmt>
      <c:pivotFmt>
        <c:idx val="106"/>
      </c:pivotFmt>
      <c:pivotFmt>
        <c:idx val="107"/>
      </c:pivotFmt>
      <c:pivotFmt>
        <c:idx val="108"/>
      </c:pivotFmt>
      <c:pivotFmt>
        <c:idx val="109"/>
      </c:pivotFmt>
      <c:pivotFmt>
        <c:idx val="110"/>
      </c:pivotFmt>
      <c:pivotFmt>
        <c:idx val="111"/>
      </c:pivotFmt>
      <c:pivotFmt>
        <c:idx val="112"/>
      </c:pivotFmt>
      <c:pivotFmt>
        <c:idx val="113"/>
      </c:pivotFmt>
      <c:pivotFmt>
        <c:idx val="114"/>
      </c:pivotFmt>
      <c:pivotFmt>
        <c:idx val="115"/>
      </c:pivotFmt>
      <c:pivotFmt>
        <c:idx val="116"/>
      </c:pivotFmt>
      <c:pivotFmt>
        <c:idx val="117"/>
      </c:pivotFmt>
      <c:pivotFmt>
        <c:idx val="118"/>
      </c:pivotFmt>
      <c:pivotFmt>
        <c:idx val="119"/>
      </c:pivotFmt>
      <c:pivotFmt>
        <c:idx val="120"/>
      </c:pivotFmt>
      <c:pivotFmt>
        <c:idx val="121"/>
      </c:pivotFmt>
      <c:pivotFmt>
        <c:idx val="122"/>
      </c:pivotFmt>
      <c:pivotFmt>
        <c:idx val="123"/>
        <c:marker>
          <c:symbol val="none"/>
        </c:marker>
      </c:pivotFmt>
      <c:pivotFmt>
        <c:idx val="124"/>
        <c:marker>
          <c:symbol val="none"/>
        </c:marker>
      </c:pivotFmt>
      <c:pivotFmt>
        <c:idx val="125"/>
        <c:marker>
          <c:symbol val="none"/>
        </c:marker>
      </c:pivotFmt>
      <c:pivotFmt>
        <c:idx val="126"/>
        <c:marker>
          <c:symbol val="none"/>
        </c:marker>
      </c:pivotFmt>
      <c:pivotFmt>
        <c:idx val="127"/>
        <c:marker>
          <c:symbol val="none"/>
        </c:marker>
      </c:pivotFmt>
      <c:pivotFmt>
        <c:idx val="128"/>
        <c:marker>
          <c:symbol val="none"/>
        </c:marker>
      </c:pivotFmt>
      <c:pivotFmt>
        <c:idx val="129"/>
        <c:marker>
          <c:symbol val="none"/>
        </c:marker>
      </c:pivotFmt>
      <c:pivotFmt>
        <c:idx val="130"/>
        <c:marker>
          <c:symbol val="none"/>
        </c:marker>
      </c:pivotFmt>
      <c:pivotFmt>
        <c:idx val="131"/>
        <c:marker>
          <c:symbol val="none"/>
        </c:marker>
      </c:pivotFmt>
      <c:pivotFmt>
        <c:idx val="132"/>
        <c:marker>
          <c:symbol val="none"/>
        </c:marker>
      </c:pivotFmt>
      <c:pivotFmt>
        <c:idx val="133"/>
        <c:marker>
          <c:symbol val="none"/>
        </c:marker>
      </c:pivotFmt>
      <c:pivotFmt>
        <c:idx val="134"/>
        <c:marker>
          <c:symbol val="none"/>
        </c:marker>
      </c:pivotFmt>
      <c:pivotFmt>
        <c:idx val="135"/>
        <c:marker>
          <c:symbol val="none"/>
        </c:marker>
      </c:pivotFmt>
      <c:pivotFmt>
        <c:idx val="136"/>
        <c:marker>
          <c:symbol val="none"/>
        </c:marker>
      </c:pivotFmt>
      <c:pivotFmt>
        <c:idx val="137"/>
        <c:marker>
          <c:symbol val="none"/>
        </c:marker>
      </c:pivotFmt>
      <c:pivotFmt>
        <c:idx val="138"/>
        <c:marker>
          <c:symbol val="none"/>
        </c:marker>
      </c:pivotFmt>
      <c:pivotFmt>
        <c:idx val="139"/>
        <c:marker>
          <c:symbol val="none"/>
        </c:marker>
      </c:pivotFmt>
      <c:pivotFmt>
        <c:idx val="140"/>
        <c:marker>
          <c:symbol val="none"/>
        </c:marker>
      </c:pivotFmt>
      <c:pivotFmt>
        <c:idx val="141"/>
        <c:marker>
          <c:symbol val="none"/>
        </c:marker>
      </c:pivotFmt>
      <c:pivotFmt>
        <c:idx val="142"/>
        <c:marker>
          <c:symbol val="none"/>
        </c:marker>
      </c:pivotFmt>
      <c:pivotFmt>
        <c:idx val="143"/>
        <c:marker>
          <c:symbol val="none"/>
        </c:marker>
      </c:pivotFmt>
      <c:pivotFmt>
        <c:idx val="144"/>
        <c:marker>
          <c:symbol val="none"/>
        </c:marker>
      </c:pivotFmt>
      <c:pivotFmt>
        <c:idx val="145"/>
        <c:marker>
          <c:symbol val="none"/>
        </c:marker>
      </c:pivotFmt>
      <c:pivotFmt>
        <c:idx val="146"/>
        <c:marker>
          <c:symbol val="none"/>
        </c:marker>
      </c:pivotFmt>
      <c:pivotFmt>
        <c:idx val="147"/>
        <c:marker>
          <c:symbol val="none"/>
        </c:marker>
      </c:pivotFmt>
      <c:pivotFmt>
        <c:idx val="148"/>
        <c:marker>
          <c:symbol val="none"/>
        </c:marker>
      </c:pivotFmt>
      <c:pivotFmt>
        <c:idx val="149"/>
        <c:marker>
          <c:symbol val="none"/>
        </c:marker>
      </c:pivotFmt>
      <c:pivotFmt>
        <c:idx val="150"/>
        <c:marker>
          <c:symbol val="none"/>
        </c:marker>
      </c:pivotFmt>
      <c:pivotFmt>
        <c:idx val="151"/>
        <c:marker>
          <c:symbol val="none"/>
        </c:marker>
      </c:pivotFmt>
      <c:pivotFmt>
        <c:idx val="152"/>
        <c:marker>
          <c:symbol val="none"/>
        </c:marker>
      </c:pivotFmt>
      <c:pivotFmt>
        <c:idx val="153"/>
        <c:marker>
          <c:symbol val="none"/>
        </c:marker>
      </c:pivotFmt>
      <c:pivotFmt>
        <c:idx val="154"/>
        <c:marker>
          <c:symbol val="none"/>
        </c:marker>
      </c:pivotFmt>
      <c:pivotFmt>
        <c:idx val="155"/>
        <c:marker>
          <c:symbol val="none"/>
        </c:marker>
      </c:pivotFmt>
      <c:pivotFmt>
        <c:idx val="156"/>
        <c:marker>
          <c:symbol val="none"/>
        </c:marker>
      </c:pivotFmt>
      <c:pivotFmt>
        <c:idx val="157"/>
        <c:marker>
          <c:symbol val="none"/>
        </c:marker>
      </c:pivotFmt>
      <c:pivotFmt>
        <c:idx val="158"/>
        <c:marker>
          <c:symbol val="none"/>
        </c:marker>
      </c:pivotFmt>
      <c:pivotFmt>
        <c:idx val="159"/>
        <c:marker>
          <c:symbol val="none"/>
        </c:marker>
      </c:pivotFmt>
      <c:pivotFmt>
        <c:idx val="160"/>
        <c:marker>
          <c:symbol val="none"/>
        </c:marker>
      </c:pivotFmt>
      <c:pivotFmt>
        <c:idx val="161"/>
        <c:marker>
          <c:symbol val="none"/>
        </c:marker>
      </c:pivotFmt>
      <c:pivotFmt>
        <c:idx val="162"/>
        <c:marker>
          <c:symbol val="none"/>
        </c:marker>
      </c:pivotFmt>
      <c:pivotFmt>
        <c:idx val="163"/>
        <c:marker>
          <c:symbol val="none"/>
        </c:marker>
      </c:pivotFmt>
      <c:pivotFmt>
        <c:idx val="164"/>
        <c:marker>
          <c:symbol val="none"/>
        </c:marker>
      </c:pivotFmt>
      <c:pivotFmt>
        <c:idx val="165"/>
        <c:marker>
          <c:symbol val="none"/>
        </c:marker>
      </c:pivotFmt>
      <c:pivotFmt>
        <c:idx val="166"/>
        <c:marker>
          <c:symbol val="none"/>
        </c:marker>
      </c:pivotFmt>
      <c:pivotFmt>
        <c:idx val="167"/>
        <c:marker>
          <c:symbol val="none"/>
        </c:marker>
      </c:pivotFmt>
      <c:pivotFmt>
        <c:idx val="168"/>
        <c:marker>
          <c:symbol val="none"/>
        </c:marker>
      </c:pivotFmt>
      <c:pivotFmt>
        <c:idx val="169"/>
        <c:marker>
          <c:symbol val="none"/>
        </c:marker>
      </c:pivotFmt>
      <c:pivotFmt>
        <c:idx val="170"/>
        <c:marker>
          <c:symbol val="none"/>
        </c:marker>
      </c:pivotFmt>
      <c:pivotFmt>
        <c:idx val="171"/>
        <c:marker>
          <c:symbol val="none"/>
        </c:marker>
      </c:pivotFmt>
      <c:pivotFmt>
        <c:idx val="172"/>
        <c:marker>
          <c:symbol val="none"/>
        </c:marker>
      </c:pivotFmt>
      <c:pivotFmt>
        <c:idx val="173"/>
        <c:marker>
          <c:symbol val="none"/>
        </c:marker>
      </c:pivotFmt>
      <c:pivotFmt>
        <c:idx val="174"/>
        <c:marker>
          <c:symbol val="none"/>
        </c:marker>
      </c:pivotFmt>
      <c:pivotFmt>
        <c:idx val="175"/>
        <c:marker>
          <c:symbol val="none"/>
        </c:marker>
      </c:pivotFmt>
      <c:pivotFmt>
        <c:idx val="176"/>
        <c:marker>
          <c:symbol val="none"/>
        </c:marker>
      </c:pivotFmt>
      <c:pivotFmt>
        <c:idx val="177"/>
        <c:marker>
          <c:symbol val="none"/>
        </c:marker>
      </c:pivotFmt>
      <c:pivotFmt>
        <c:idx val="178"/>
        <c:marker>
          <c:symbol val="none"/>
        </c:marker>
      </c:pivotFmt>
      <c:pivotFmt>
        <c:idx val="179"/>
        <c:marker>
          <c:symbol val="none"/>
        </c:marker>
      </c:pivotFmt>
      <c:pivotFmt>
        <c:idx val="180"/>
        <c:marker>
          <c:symbol val="none"/>
        </c:marker>
      </c:pivotFmt>
      <c:pivotFmt>
        <c:idx val="181"/>
        <c:marker>
          <c:symbol val="none"/>
        </c:marker>
      </c:pivotFmt>
      <c:pivotFmt>
        <c:idx val="182"/>
        <c:marker>
          <c:symbol val="none"/>
        </c:marker>
      </c:pivotFmt>
      <c:pivotFmt>
        <c:idx val="183"/>
        <c:marker>
          <c:symbol val="none"/>
        </c:marker>
      </c:pivotFmt>
      <c:pivotFmt>
        <c:idx val="184"/>
        <c:marker>
          <c:symbol val="none"/>
        </c:marker>
      </c:pivotFmt>
      <c:pivotFmt>
        <c:idx val="185"/>
        <c:marker>
          <c:symbol val="none"/>
        </c:marker>
      </c:pivotFmt>
      <c:pivotFmt>
        <c:idx val="186"/>
        <c:marker>
          <c:symbol val="none"/>
        </c:marker>
      </c:pivotFmt>
      <c:pivotFmt>
        <c:idx val="187"/>
        <c:marker>
          <c:symbol val="none"/>
        </c:marker>
      </c:pivotFmt>
      <c:pivotFmt>
        <c:idx val="188"/>
        <c:marker>
          <c:symbol val="none"/>
        </c:marker>
      </c:pivotFmt>
      <c:pivotFmt>
        <c:idx val="189"/>
        <c:marker>
          <c:symbol val="none"/>
        </c:marker>
      </c:pivotFmt>
      <c:pivotFmt>
        <c:idx val="190"/>
        <c:marker>
          <c:symbol val="none"/>
        </c:marker>
      </c:pivotFmt>
      <c:pivotFmt>
        <c:idx val="191"/>
        <c:marker>
          <c:symbol val="none"/>
        </c:marker>
      </c:pivotFmt>
      <c:pivotFmt>
        <c:idx val="192"/>
        <c:marker>
          <c:symbol val="none"/>
        </c:marker>
      </c:pivotFmt>
      <c:pivotFmt>
        <c:idx val="193"/>
        <c:marker>
          <c:symbol val="none"/>
        </c:marker>
      </c:pivotFmt>
      <c:pivotFmt>
        <c:idx val="194"/>
        <c:marker>
          <c:symbol val="none"/>
        </c:marker>
      </c:pivotFmt>
      <c:pivotFmt>
        <c:idx val="195"/>
        <c:marker>
          <c:symbol val="none"/>
        </c:marker>
      </c:pivotFmt>
      <c:pivotFmt>
        <c:idx val="196"/>
        <c:marker>
          <c:symbol val="none"/>
        </c:marker>
      </c:pivotFmt>
      <c:pivotFmt>
        <c:idx val="197"/>
        <c:marker>
          <c:symbol val="none"/>
        </c:marker>
      </c:pivotFmt>
      <c:pivotFmt>
        <c:idx val="198"/>
        <c:marker>
          <c:symbol val="none"/>
        </c:marker>
      </c:pivotFmt>
      <c:pivotFmt>
        <c:idx val="199"/>
        <c:marker>
          <c:symbol val="none"/>
        </c:marker>
      </c:pivotFmt>
      <c:pivotFmt>
        <c:idx val="200"/>
        <c:marker>
          <c:symbol val="none"/>
        </c:marker>
      </c:pivotFmt>
      <c:pivotFmt>
        <c:idx val="201"/>
        <c:marker>
          <c:symbol val="none"/>
        </c:marker>
      </c:pivotFmt>
      <c:pivotFmt>
        <c:idx val="202"/>
        <c:marker>
          <c:symbol val="none"/>
        </c:marker>
      </c:pivotFmt>
      <c:pivotFmt>
        <c:idx val="203"/>
        <c:marker>
          <c:symbol val="none"/>
        </c:marker>
      </c:pivotFmt>
      <c:pivotFmt>
        <c:idx val="204"/>
        <c:marker>
          <c:symbol val="none"/>
        </c:marker>
      </c:pivotFmt>
      <c:pivotFmt>
        <c:idx val="205"/>
        <c:marker>
          <c:symbol val="none"/>
        </c:marker>
      </c:pivotFmt>
      <c:pivotFmt>
        <c:idx val="206"/>
        <c:marker>
          <c:symbol val="none"/>
        </c:marker>
      </c:pivotFmt>
      <c:pivotFmt>
        <c:idx val="207"/>
        <c:marker>
          <c:symbol val="none"/>
        </c:marker>
      </c:pivotFmt>
      <c:pivotFmt>
        <c:idx val="208"/>
        <c:marker>
          <c:symbol val="none"/>
        </c:marker>
      </c:pivotFmt>
      <c:pivotFmt>
        <c:idx val="209"/>
        <c:marker>
          <c:symbol val="none"/>
        </c:marker>
      </c:pivotFmt>
      <c:pivotFmt>
        <c:idx val="210"/>
        <c:marker>
          <c:symbol val="none"/>
        </c:marker>
      </c:pivotFmt>
      <c:pivotFmt>
        <c:idx val="211"/>
        <c:marker>
          <c:symbol val="none"/>
        </c:marker>
      </c:pivotFmt>
      <c:pivotFmt>
        <c:idx val="212"/>
        <c:marker>
          <c:symbol val="none"/>
        </c:marker>
      </c:pivotFmt>
      <c:pivotFmt>
        <c:idx val="213"/>
        <c:marker>
          <c:symbol val="none"/>
        </c:marker>
      </c:pivotFmt>
      <c:pivotFmt>
        <c:idx val="214"/>
        <c:marker>
          <c:symbol val="none"/>
        </c:marker>
      </c:pivotFmt>
      <c:pivotFmt>
        <c:idx val="215"/>
        <c:marker>
          <c:symbol val="none"/>
        </c:marker>
      </c:pivotFmt>
      <c:pivotFmt>
        <c:idx val="216"/>
        <c:marker>
          <c:symbol val="none"/>
        </c:marker>
      </c:pivotFmt>
      <c:pivotFmt>
        <c:idx val="217"/>
        <c:marker>
          <c:symbol val="none"/>
        </c:marker>
      </c:pivotFmt>
      <c:pivotFmt>
        <c:idx val="218"/>
        <c:marker>
          <c:symbol val="none"/>
        </c:marker>
      </c:pivotFmt>
      <c:pivotFmt>
        <c:idx val="219"/>
        <c:marker>
          <c:symbol val="none"/>
        </c:marker>
      </c:pivotFmt>
      <c:pivotFmt>
        <c:idx val="220"/>
        <c:marker>
          <c:symbol val="none"/>
        </c:marker>
      </c:pivotFmt>
      <c:pivotFmt>
        <c:idx val="221"/>
        <c:marker>
          <c:symbol val="none"/>
        </c:marker>
      </c:pivotFmt>
      <c:pivotFmt>
        <c:idx val="222"/>
        <c:marker>
          <c:symbol val="none"/>
        </c:marker>
      </c:pivotFmt>
      <c:pivotFmt>
        <c:idx val="223"/>
        <c:marker>
          <c:symbol val="none"/>
        </c:marker>
      </c:pivotFmt>
      <c:pivotFmt>
        <c:idx val="224"/>
        <c:marker>
          <c:symbol val="none"/>
        </c:marker>
      </c:pivotFmt>
      <c:pivotFmt>
        <c:idx val="225"/>
        <c:marker>
          <c:symbol val="none"/>
        </c:marker>
      </c:pivotFmt>
      <c:pivotFmt>
        <c:idx val="226"/>
        <c:marker>
          <c:symbol val="none"/>
        </c:marker>
      </c:pivotFmt>
      <c:pivotFmt>
        <c:idx val="227"/>
        <c:marker>
          <c:symbol val="none"/>
        </c:marker>
      </c:pivotFmt>
      <c:pivotFmt>
        <c:idx val="228"/>
        <c:marker>
          <c:symbol val="none"/>
        </c:marker>
      </c:pivotFmt>
      <c:pivotFmt>
        <c:idx val="229"/>
        <c:marker>
          <c:symbol val="none"/>
        </c:marker>
      </c:pivotFmt>
      <c:pivotFmt>
        <c:idx val="230"/>
        <c:marker>
          <c:symbol val="none"/>
        </c:marker>
      </c:pivotFmt>
      <c:pivotFmt>
        <c:idx val="231"/>
        <c:marker>
          <c:symbol val="none"/>
        </c:marker>
      </c:pivotFmt>
      <c:pivotFmt>
        <c:idx val="232"/>
        <c:marker>
          <c:symbol val="none"/>
        </c:marker>
      </c:pivotFmt>
      <c:pivotFmt>
        <c:idx val="233"/>
        <c:marker>
          <c:symbol val="none"/>
        </c:marker>
      </c:pivotFmt>
      <c:pivotFmt>
        <c:idx val="234"/>
        <c:marker>
          <c:symbol val="none"/>
        </c:marker>
      </c:pivotFmt>
      <c:pivotFmt>
        <c:idx val="235"/>
        <c:marker>
          <c:symbol val="none"/>
        </c:marker>
      </c:pivotFmt>
      <c:pivotFmt>
        <c:idx val="236"/>
        <c:marker>
          <c:symbol val="none"/>
        </c:marker>
      </c:pivotFmt>
      <c:pivotFmt>
        <c:idx val="237"/>
        <c:marker>
          <c:symbol val="none"/>
        </c:marker>
      </c:pivotFmt>
      <c:pivotFmt>
        <c:idx val="238"/>
        <c:marker>
          <c:symbol val="none"/>
        </c:marker>
      </c:pivotFmt>
      <c:pivotFmt>
        <c:idx val="239"/>
        <c:marker>
          <c:symbol val="none"/>
        </c:marker>
      </c:pivotFmt>
      <c:pivotFmt>
        <c:idx val="240"/>
        <c:marker>
          <c:symbol val="none"/>
        </c:marker>
      </c:pivotFmt>
      <c:pivotFmt>
        <c:idx val="241"/>
        <c:marker>
          <c:symbol val="none"/>
        </c:marker>
      </c:pivotFmt>
      <c:pivotFmt>
        <c:idx val="242"/>
        <c:marker>
          <c:symbol val="none"/>
        </c:marker>
      </c:pivotFmt>
      <c:pivotFmt>
        <c:idx val="243"/>
        <c:marker>
          <c:symbol val="none"/>
        </c:marker>
      </c:pivotFmt>
      <c:pivotFmt>
        <c:idx val="244"/>
        <c:marker>
          <c:symbol val="none"/>
        </c:marker>
      </c:pivotFmt>
      <c:pivotFmt>
        <c:idx val="245"/>
        <c:marker>
          <c:symbol val="none"/>
        </c:marker>
      </c:pivotFmt>
      <c:pivotFmt>
        <c:idx val="246"/>
        <c:marker>
          <c:symbol val="none"/>
        </c:marker>
      </c:pivotFmt>
      <c:pivotFmt>
        <c:idx val="247"/>
        <c:marker>
          <c:symbol val="none"/>
        </c:marker>
      </c:pivotFmt>
      <c:pivotFmt>
        <c:idx val="248"/>
        <c:marker>
          <c:symbol val="none"/>
        </c:marker>
      </c:pivotFmt>
      <c:pivotFmt>
        <c:idx val="249"/>
        <c:marker>
          <c:symbol val="none"/>
        </c:marker>
      </c:pivotFmt>
      <c:pivotFmt>
        <c:idx val="250"/>
        <c:marker>
          <c:symbol val="none"/>
        </c:marker>
      </c:pivotFmt>
      <c:pivotFmt>
        <c:idx val="251"/>
        <c:marker>
          <c:symbol val="none"/>
        </c:marker>
      </c:pivotFmt>
      <c:pivotFmt>
        <c:idx val="252"/>
        <c:marker>
          <c:symbol val="none"/>
        </c:marker>
      </c:pivotFmt>
      <c:pivotFmt>
        <c:idx val="253"/>
        <c:marker>
          <c:symbol val="none"/>
        </c:marker>
      </c:pivotFmt>
      <c:pivotFmt>
        <c:idx val="254"/>
        <c:marker>
          <c:symbol val="none"/>
        </c:marker>
      </c:pivotFmt>
      <c:pivotFmt>
        <c:idx val="255"/>
        <c:marker>
          <c:symbol val="none"/>
        </c:marker>
      </c:pivotFmt>
      <c:pivotFmt>
        <c:idx val="256"/>
        <c:marker>
          <c:symbol val="none"/>
        </c:marker>
      </c:pivotFmt>
      <c:pivotFmt>
        <c:idx val="257"/>
        <c:marker>
          <c:symbol val="none"/>
        </c:marker>
      </c:pivotFmt>
      <c:pivotFmt>
        <c:idx val="258"/>
        <c:marker>
          <c:symbol val="none"/>
        </c:marker>
      </c:pivotFmt>
      <c:pivotFmt>
        <c:idx val="259"/>
        <c:marker>
          <c:symbol val="none"/>
        </c:marker>
      </c:pivotFmt>
      <c:pivotFmt>
        <c:idx val="260"/>
        <c:marker>
          <c:symbol val="none"/>
        </c:marker>
      </c:pivotFmt>
      <c:pivotFmt>
        <c:idx val="261"/>
        <c:marker>
          <c:symbol val="none"/>
        </c:marker>
      </c:pivotFmt>
      <c:pivotFmt>
        <c:idx val="262"/>
        <c:marker>
          <c:symbol val="none"/>
        </c:marker>
      </c:pivotFmt>
      <c:pivotFmt>
        <c:idx val="263"/>
        <c:marker>
          <c:symbol val="none"/>
        </c:marker>
      </c:pivotFmt>
      <c:pivotFmt>
        <c:idx val="264"/>
        <c:marker>
          <c:symbol val="none"/>
        </c:marker>
      </c:pivotFmt>
      <c:pivotFmt>
        <c:idx val="265"/>
        <c:marker>
          <c:symbol val="none"/>
        </c:marker>
      </c:pivotFmt>
      <c:pivotFmt>
        <c:idx val="266"/>
        <c:marker>
          <c:symbol val="none"/>
        </c:marker>
      </c:pivotFmt>
      <c:pivotFmt>
        <c:idx val="267"/>
        <c:marker>
          <c:symbol val="none"/>
        </c:marker>
      </c:pivotFmt>
      <c:pivotFmt>
        <c:idx val="268"/>
        <c:marker>
          <c:symbol val="none"/>
        </c:marker>
      </c:pivotFmt>
      <c:pivotFmt>
        <c:idx val="269"/>
        <c:marker>
          <c:symbol val="none"/>
        </c:marker>
      </c:pivotFmt>
      <c:pivotFmt>
        <c:idx val="270"/>
        <c:marker>
          <c:symbol val="none"/>
        </c:marker>
      </c:pivotFmt>
      <c:pivotFmt>
        <c:idx val="271"/>
        <c:marker>
          <c:symbol val="none"/>
        </c:marker>
      </c:pivotFmt>
      <c:pivotFmt>
        <c:idx val="272"/>
        <c:marker>
          <c:symbol val="none"/>
        </c:marker>
      </c:pivotFmt>
      <c:pivotFmt>
        <c:idx val="273"/>
        <c:marker>
          <c:symbol val="none"/>
        </c:marker>
      </c:pivotFmt>
      <c:pivotFmt>
        <c:idx val="274"/>
        <c:marker>
          <c:symbol val="none"/>
        </c:marker>
      </c:pivotFmt>
      <c:pivotFmt>
        <c:idx val="275"/>
        <c:marker>
          <c:symbol val="none"/>
        </c:marker>
      </c:pivotFmt>
      <c:pivotFmt>
        <c:idx val="276"/>
        <c:marker>
          <c:symbol val="none"/>
        </c:marker>
      </c:pivotFmt>
      <c:pivotFmt>
        <c:idx val="277"/>
        <c:marker>
          <c:symbol val="none"/>
        </c:marker>
      </c:pivotFmt>
      <c:pivotFmt>
        <c:idx val="278"/>
        <c:marker>
          <c:symbol val="none"/>
        </c:marker>
      </c:pivotFmt>
      <c:pivotFmt>
        <c:idx val="279"/>
        <c:marker>
          <c:symbol val="none"/>
        </c:marker>
      </c:pivotFmt>
      <c:pivotFmt>
        <c:idx val="280"/>
        <c:marker>
          <c:symbol val="none"/>
        </c:marker>
      </c:pivotFmt>
      <c:pivotFmt>
        <c:idx val="281"/>
        <c:marker>
          <c:symbol val="none"/>
        </c:marker>
      </c:pivotFmt>
      <c:pivotFmt>
        <c:idx val="282"/>
        <c:marker>
          <c:symbol val="none"/>
        </c:marker>
      </c:pivotFmt>
      <c:pivotFmt>
        <c:idx val="283"/>
        <c:marker>
          <c:symbol val="none"/>
        </c:marker>
      </c:pivotFmt>
      <c:pivotFmt>
        <c:idx val="284"/>
        <c:marker>
          <c:symbol val="none"/>
        </c:marker>
      </c:pivotFmt>
      <c:pivotFmt>
        <c:idx val="285"/>
        <c:marker>
          <c:symbol val="none"/>
        </c:marker>
      </c:pivotFmt>
      <c:pivotFmt>
        <c:idx val="286"/>
        <c:marker>
          <c:symbol val="none"/>
        </c:marker>
      </c:pivotFmt>
      <c:pivotFmt>
        <c:idx val="287"/>
        <c:marker>
          <c:symbol val="none"/>
        </c:marker>
      </c:pivotFmt>
      <c:pivotFmt>
        <c:idx val="288"/>
        <c:marker>
          <c:symbol val="none"/>
        </c:marker>
      </c:pivotFmt>
      <c:pivotFmt>
        <c:idx val="289"/>
        <c:marker>
          <c:symbol val="none"/>
        </c:marker>
      </c:pivotFmt>
      <c:pivotFmt>
        <c:idx val="290"/>
        <c:marker>
          <c:symbol val="none"/>
        </c:marker>
      </c:pivotFmt>
      <c:pivotFmt>
        <c:idx val="291"/>
        <c:marker>
          <c:symbol val="none"/>
        </c:marker>
      </c:pivotFmt>
      <c:pivotFmt>
        <c:idx val="292"/>
        <c:marker>
          <c:symbol val="none"/>
        </c:marker>
      </c:pivotFmt>
      <c:pivotFmt>
        <c:idx val="293"/>
        <c:marker>
          <c:symbol val="none"/>
        </c:marker>
      </c:pivotFmt>
      <c:pivotFmt>
        <c:idx val="294"/>
        <c:marker>
          <c:symbol val="none"/>
        </c:marker>
      </c:pivotFmt>
      <c:pivotFmt>
        <c:idx val="295"/>
        <c:marker>
          <c:symbol val="none"/>
        </c:marker>
      </c:pivotFmt>
      <c:pivotFmt>
        <c:idx val="296"/>
        <c:marker>
          <c:symbol val="none"/>
        </c:marker>
      </c:pivotFmt>
      <c:pivotFmt>
        <c:idx val="297"/>
        <c:marker>
          <c:symbol val="none"/>
        </c:marker>
      </c:pivotFmt>
      <c:pivotFmt>
        <c:idx val="298"/>
        <c:marker>
          <c:symbol val="none"/>
        </c:marker>
      </c:pivotFmt>
      <c:pivotFmt>
        <c:idx val="299"/>
        <c:marker>
          <c:symbol val="none"/>
        </c:marker>
      </c:pivotFmt>
      <c:pivotFmt>
        <c:idx val="300"/>
        <c:marker>
          <c:symbol val="none"/>
        </c:marker>
      </c:pivotFmt>
      <c:pivotFmt>
        <c:idx val="301"/>
        <c:marker>
          <c:symbol val="none"/>
        </c:marker>
      </c:pivotFmt>
      <c:pivotFmt>
        <c:idx val="302"/>
        <c:marker>
          <c:symbol val="none"/>
        </c:marker>
      </c:pivotFmt>
      <c:pivotFmt>
        <c:idx val="303"/>
        <c:marker>
          <c:symbol val="none"/>
        </c:marker>
      </c:pivotFmt>
      <c:pivotFmt>
        <c:idx val="304"/>
        <c:marker>
          <c:symbol val="none"/>
        </c:marker>
      </c:pivotFmt>
      <c:pivotFmt>
        <c:idx val="305"/>
        <c:marker>
          <c:symbol val="none"/>
        </c:marker>
      </c:pivotFmt>
      <c:pivotFmt>
        <c:idx val="306"/>
        <c:marker>
          <c:symbol val="none"/>
        </c:marker>
      </c:pivotFmt>
      <c:pivotFmt>
        <c:idx val="307"/>
        <c:marker>
          <c:symbol val="none"/>
        </c:marker>
      </c:pivotFmt>
      <c:pivotFmt>
        <c:idx val="308"/>
        <c:marker>
          <c:symbol val="none"/>
        </c:marker>
      </c:pivotFmt>
      <c:pivotFmt>
        <c:idx val="309"/>
        <c:marker>
          <c:symbol val="none"/>
        </c:marker>
      </c:pivotFmt>
      <c:pivotFmt>
        <c:idx val="310"/>
        <c:marker>
          <c:symbol val="none"/>
        </c:marker>
      </c:pivotFmt>
      <c:pivotFmt>
        <c:idx val="311"/>
        <c:marker>
          <c:symbol val="none"/>
        </c:marker>
      </c:pivotFmt>
      <c:pivotFmt>
        <c:idx val="312"/>
        <c:marker>
          <c:symbol val="none"/>
        </c:marker>
      </c:pivotFmt>
      <c:pivotFmt>
        <c:idx val="313"/>
        <c:marker>
          <c:symbol val="none"/>
        </c:marker>
      </c:pivotFmt>
      <c:pivotFmt>
        <c:idx val="314"/>
        <c:marker>
          <c:symbol val="none"/>
        </c:marker>
      </c:pivotFmt>
      <c:pivotFmt>
        <c:idx val="315"/>
        <c:marker>
          <c:symbol val="none"/>
        </c:marker>
      </c:pivotFmt>
      <c:pivotFmt>
        <c:idx val="316"/>
        <c:marker>
          <c:symbol val="none"/>
        </c:marker>
      </c:pivotFmt>
      <c:pivotFmt>
        <c:idx val="317"/>
        <c:marker>
          <c:symbol val="none"/>
        </c:marker>
      </c:pivotFmt>
      <c:pivotFmt>
        <c:idx val="318"/>
        <c:marker>
          <c:symbol val="none"/>
        </c:marker>
      </c:pivotFmt>
      <c:pivotFmt>
        <c:idx val="319"/>
        <c:marker>
          <c:symbol val="none"/>
        </c:marker>
      </c:pivotFmt>
      <c:pivotFmt>
        <c:idx val="320"/>
        <c:marker>
          <c:symbol val="none"/>
        </c:marker>
      </c:pivotFmt>
      <c:pivotFmt>
        <c:idx val="321"/>
        <c:marker>
          <c:symbol val="none"/>
        </c:marker>
      </c:pivotFmt>
      <c:pivotFmt>
        <c:idx val="322"/>
        <c:marker>
          <c:symbol val="none"/>
        </c:marker>
      </c:pivotFmt>
      <c:pivotFmt>
        <c:idx val="323"/>
        <c:marker>
          <c:symbol val="none"/>
        </c:marker>
      </c:pivotFmt>
      <c:pivotFmt>
        <c:idx val="324"/>
        <c:marker>
          <c:symbol val="none"/>
        </c:marker>
      </c:pivotFmt>
      <c:pivotFmt>
        <c:idx val="325"/>
        <c:marker>
          <c:symbol val="none"/>
        </c:marker>
      </c:pivotFmt>
      <c:pivotFmt>
        <c:idx val="326"/>
        <c:marker>
          <c:symbol val="none"/>
        </c:marker>
      </c:pivotFmt>
      <c:pivotFmt>
        <c:idx val="327"/>
        <c:marker>
          <c:symbol val="none"/>
        </c:marker>
      </c:pivotFmt>
      <c:pivotFmt>
        <c:idx val="328"/>
        <c:marker>
          <c:symbol val="none"/>
        </c:marker>
      </c:pivotFmt>
      <c:pivotFmt>
        <c:idx val="329"/>
        <c:marker>
          <c:symbol val="none"/>
        </c:marker>
      </c:pivotFmt>
      <c:pivotFmt>
        <c:idx val="330"/>
        <c:marker>
          <c:symbol val="none"/>
        </c:marker>
      </c:pivotFmt>
      <c:pivotFmt>
        <c:idx val="331"/>
        <c:marker>
          <c:symbol val="none"/>
        </c:marker>
      </c:pivotFmt>
      <c:pivotFmt>
        <c:idx val="332"/>
        <c:marker>
          <c:symbol val="none"/>
        </c:marker>
      </c:pivotFmt>
      <c:pivotFmt>
        <c:idx val="333"/>
        <c:marker>
          <c:symbol val="none"/>
        </c:marker>
      </c:pivotFmt>
      <c:pivotFmt>
        <c:idx val="334"/>
        <c:marker>
          <c:symbol val="none"/>
        </c:marker>
      </c:pivotFmt>
      <c:pivotFmt>
        <c:idx val="335"/>
        <c:marker>
          <c:symbol val="none"/>
        </c:marker>
      </c:pivotFmt>
      <c:pivotFmt>
        <c:idx val="336"/>
        <c:marker>
          <c:symbol val="none"/>
        </c:marker>
      </c:pivotFmt>
      <c:pivotFmt>
        <c:idx val="337"/>
        <c:marker>
          <c:symbol val="none"/>
        </c:marker>
      </c:pivotFmt>
      <c:pivotFmt>
        <c:idx val="338"/>
        <c:marker>
          <c:symbol val="none"/>
        </c:marker>
      </c:pivotFmt>
      <c:pivotFmt>
        <c:idx val="339"/>
        <c:marker>
          <c:symbol val="none"/>
        </c:marker>
      </c:pivotFmt>
      <c:pivotFmt>
        <c:idx val="340"/>
        <c:marker>
          <c:symbol val="none"/>
        </c:marker>
      </c:pivotFmt>
      <c:pivotFmt>
        <c:idx val="341"/>
        <c:marker>
          <c:symbol val="none"/>
        </c:marker>
      </c:pivotFmt>
      <c:pivotFmt>
        <c:idx val="342"/>
        <c:marker>
          <c:symbol val="none"/>
        </c:marker>
      </c:pivotFmt>
      <c:pivotFmt>
        <c:idx val="343"/>
        <c:marker>
          <c:symbol val="none"/>
        </c:marker>
      </c:pivotFmt>
      <c:pivotFmt>
        <c:idx val="344"/>
        <c:marker>
          <c:symbol val="none"/>
        </c:marker>
      </c:pivotFmt>
      <c:pivotFmt>
        <c:idx val="345"/>
        <c:marker>
          <c:symbol val="none"/>
        </c:marker>
      </c:pivotFmt>
      <c:pivotFmt>
        <c:idx val="346"/>
        <c:marker>
          <c:symbol val="none"/>
        </c:marker>
      </c:pivotFmt>
      <c:pivotFmt>
        <c:idx val="347"/>
        <c:marker>
          <c:symbol val="none"/>
        </c:marker>
      </c:pivotFmt>
      <c:pivotFmt>
        <c:idx val="348"/>
        <c:marker>
          <c:symbol val="none"/>
        </c:marker>
      </c:pivotFmt>
      <c:pivotFmt>
        <c:idx val="349"/>
        <c:marker>
          <c:symbol val="none"/>
        </c:marker>
      </c:pivotFmt>
      <c:pivotFmt>
        <c:idx val="350"/>
        <c:marker>
          <c:symbol val="none"/>
        </c:marker>
      </c:pivotFmt>
      <c:pivotFmt>
        <c:idx val="351"/>
        <c:marker>
          <c:symbol val="none"/>
        </c:marker>
      </c:pivotFmt>
      <c:pivotFmt>
        <c:idx val="352"/>
        <c:marker>
          <c:symbol val="none"/>
        </c:marker>
      </c:pivotFmt>
      <c:pivotFmt>
        <c:idx val="353"/>
        <c:marker>
          <c:symbol val="none"/>
        </c:marker>
      </c:pivotFmt>
      <c:pivotFmt>
        <c:idx val="354"/>
        <c:marker>
          <c:symbol val="none"/>
        </c:marker>
      </c:pivotFmt>
      <c:pivotFmt>
        <c:idx val="355"/>
        <c:marker>
          <c:symbol val="none"/>
        </c:marker>
      </c:pivotFmt>
      <c:pivotFmt>
        <c:idx val="356"/>
        <c:marker>
          <c:symbol val="none"/>
        </c:marker>
      </c:pivotFmt>
      <c:pivotFmt>
        <c:idx val="357"/>
        <c:marker>
          <c:symbol val="none"/>
        </c:marker>
      </c:pivotFmt>
      <c:pivotFmt>
        <c:idx val="358"/>
        <c:marker>
          <c:symbol val="none"/>
        </c:marker>
      </c:pivotFmt>
      <c:pivotFmt>
        <c:idx val="359"/>
        <c:marker>
          <c:symbol val="none"/>
        </c:marker>
      </c:pivotFmt>
      <c:pivotFmt>
        <c:idx val="360"/>
        <c:marker>
          <c:symbol val="none"/>
        </c:marker>
      </c:pivotFmt>
      <c:pivotFmt>
        <c:idx val="361"/>
        <c:marker>
          <c:symbol val="none"/>
        </c:marker>
      </c:pivotFmt>
      <c:pivotFmt>
        <c:idx val="362"/>
        <c:marker>
          <c:symbol val="none"/>
        </c:marker>
      </c:pivotFmt>
      <c:pivotFmt>
        <c:idx val="363"/>
        <c:marker>
          <c:symbol val="none"/>
        </c:marker>
      </c:pivotFmt>
      <c:pivotFmt>
        <c:idx val="364"/>
        <c:marker>
          <c:symbol val="none"/>
        </c:marker>
      </c:pivotFmt>
      <c:pivotFmt>
        <c:idx val="365"/>
        <c:marker>
          <c:symbol val="none"/>
        </c:marker>
      </c:pivotFmt>
      <c:pivotFmt>
        <c:idx val="366"/>
        <c:marker>
          <c:symbol val="none"/>
        </c:marker>
      </c:pivotFmt>
      <c:pivotFmt>
        <c:idx val="367"/>
        <c:marker>
          <c:symbol val="none"/>
        </c:marker>
      </c:pivotFmt>
      <c:pivotFmt>
        <c:idx val="368"/>
        <c:marker>
          <c:symbol val="none"/>
        </c:marker>
      </c:pivotFmt>
      <c:pivotFmt>
        <c:idx val="369"/>
        <c:marker>
          <c:symbol val="none"/>
        </c:marker>
      </c:pivotFmt>
      <c:pivotFmt>
        <c:idx val="370"/>
        <c:marker>
          <c:symbol val="none"/>
        </c:marker>
      </c:pivotFmt>
      <c:pivotFmt>
        <c:idx val="371"/>
        <c:marker>
          <c:symbol val="none"/>
        </c:marker>
      </c:pivotFmt>
      <c:pivotFmt>
        <c:idx val="372"/>
        <c:marker>
          <c:symbol val="none"/>
        </c:marker>
      </c:pivotFmt>
      <c:pivotFmt>
        <c:idx val="373"/>
        <c:marker>
          <c:symbol val="none"/>
        </c:marker>
      </c:pivotFmt>
      <c:pivotFmt>
        <c:idx val="374"/>
        <c:marker>
          <c:symbol val="none"/>
        </c:marker>
      </c:pivotFmt>
      <c:pivotFmt>
        <c:idx val="375"/>
        <c:marker>
          <c:symbol val="none"/>
        </c:marker>
      </c:pivotFmt>
      <c:pivotFmt>
        <c:idx val="376"/>
        <c:marker>
          <c:symbol val="none"/>
        </c:marker>
      </c:pivotFmt>
      <c:pivotFmt>
        <c:idx val="377"/>
        <c:marker>
          <c:symbol val="none"/>
        </c:marker>
      </c:pivotFmt>
      <c:pivotFmt>
        <c:idx val="378"/>
        <c:marker>
          <c:symbol val="none"/>
        </c:marker>
      </c:pivotFmt>
      <c:pivotFmt>
        <c:idx val="379"/>
        <c:marker>
          <c:symbol val="none"/>
        </c:marker>
      </c:pivotFmt>
      <c:pivotFmt>
        <c:idx val="380"/>
        <c:marker>
          <c:symbol val="none"/>
        </c:marker>
      </c:pivotFmt>
      <c:pivotFmt>
        <c:idx val="381"/>
        <c:marker>
          <c:symbol val="none"/>
        </c:marker>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82"/>
        <c:marker>
          <c:symbol val="none"/>
        </c:marker>
      </c:pivotFmt>
      <c:pivotFmt>
        <c:idx val="383"/>
        <c:marker>
          <c:symbol val="none"/>
        </c:marker>
      </c:pivotFmt>
      <c:pivotFmt>
        <c:idx val="384"/>
        <c:marker>
          <c:symbol val="none"/>
        </c:marker>
      </c:pivotFmt>
      <c:pivotFmt>
        <c:idx val="385"/>
        <c:marker>
          <c:symbol val="none"/>
        </c:marker>
      </c:pivotFmt>
      <c:pivotFmt>
        <c:idx val="386"/>
        <c:marker>
          <c:symbol val="none"/>
        </c:marker>
      </c:pivotFmt>
      <c:pivotFmt>
        <c:idx val="387"/>
        <c:marker>
          <c:symbol val="none"/>
        </c:marker>
      </c:pivotFmt>
      <c:pivotFmt>
        <c:idx val="388"/>
        <c:marker>
          <c:symbol val="none"/>
        </c:marker>
      </c:pivotFmt>
      <c:pivotFmt>
        <c:idx val="389"/>
        <c:marker>
          <c:symbol val="none"/>
        </c:marker>
      </c:pivotFmt>
      <c:pivotFmt>
        <c:idx val="390"/>
        <c:marker>
          <c:symbol val="none"/>
        </c:marker>
      </c:pivotFmt>
      <c:pivotFmt>
        <c:idx val="391"/>
        <c:marker>
          <c:symbol val="none"/>
        </c:marker>
      </c:pivotFmt>
      <c:pivotFmt>
        <c:idx val="392"/>
        <c:marker>
          <c:symbol val="none"/>
        </c:marker>
        <c:dLbl>
          <c:idx val="0"/>
          <c:delete val="1"/>
          <c:extLst>
            <c:ext xmlns:c15="http://schemas.microsoft.com/office/drawing/2012/chart" uri="{CE6537A1-D6FC-4f65-9D91-7224C49458BB}"/>
          </c:extLst>
        </c:dLbl>
      </c:pivotFmt>
      <c:pivotFmt>
        <c:idx val="393"/>
        <c:marker>
          <c:symbol val="none"/>
        </c:marker>
      </c:pivotFmt>
      <c:pivotFmt>
        <c:idx val="394"/>
        <c:marker>
          <c:symbol val="none"/>
        </c:marker>
        <c:dLbl>
          <c:idx val="0"/>
          <c:delete val="1"/>
          <c:extLst>
            <c:ext xmlns:c15="http://schemas.microsoft.com/office/drawing/2012/chart" uri="{CE6537A1-D6FC-4f65-9D91-7224C49458BB}"/>
          </c:extLst>
        </c:dLbl>
      </c:pivotFmt>
      <c:pivotFmt>
        <c:idx val="395"/>
        <c:marker>
          <c:symbol val="none"/>
        </c:marker>
      </c:pivotFmt>
      <c:pivotFmt>
        <c:idx val="396"/>
        <c:marker>
          <c:symbol val="none"/>
        </c:marker>
        <c:dLbl>
          <c:idx val="0"/>
          <c:delete val="1"/>
          <c:extLst>
            <c:ext xmlns:c15="http://schemas.microsoft.com/office/drawing/2012/chart" uri="{CE6537A1-D6FC-4f65-9D91-7224C49458BB}"/>
          </c:extLst>
        </c:dLbl>
      </c:pivotFmt>
      <c:pivotFmt>
        <c:idx val="397"/>
        <c:marker>
          <c:symbol val="none"/>
        </c:marker>
      </c:pivotFmt>
      <c:pivotFmt>
        <c:idx val="398"/>
        <c:marker>
          <c:symbol val="none"/>
        </c:marker>
        <c:dLbl>
          <c:idx val="0"/>
          <c:delete val="1"/>
          <c:extLst>
            <c:ext xmlns:c15="http://schemas.microsoft.com/office/drawing/2012/chart" uri="{CE6537A1-D6FC-4f65-9D91-7224C49458BB}"/>
          </c:extLst>
        </c:dLbl>
      </c:pivotFmt>
      <c:pivotFmt>
        <c:idx val="399"/>
        <c:marker>
          <c:symbol val="none"/>
        </c:marker>
      </c:pivotFmt>
      <c:pivotFmt>
        <c:idx val="400"/>
        <c:marker>
          <c:symbol val="none"/>
        </c:marker>
      </c:pivotFmt>
      <c:pivotFmt>
        <c:idx val="401"/>
        <c:marker>
          <c:symbol val="none"/>
        </c:marker>
      </c:pivotFmt>
      <c:pivotFmt>
        <c:idx val="402"/>
        <c:marker>
          <c:symbol val="none"/>
        </c:marker>
      </c:pivotFmt>
      <c:pivotFmt>
        <c:idx val="403"/>
        <c:marker>
          <c:symbol val="none"/>
        </c:marker>
      </c:pivotFmt>
      <c:pivotFmt>
        <c:idx val="404"/>
        <c:marker>
          <c:symbol val="none"/>
        </c:marker>
      </c:pivotFmt>
      <c:pivotFmt>
        <c:idx val="405"/>
        <c:marker>
          <c:symbol val="none"/>
        </c:marker>
      </c:pivotFmt>
      <c:pivotFmt>
        <c:idx val="406"/>
        <c:marker>
          <c:symbol val="none"/>
        </c:marker>
      </c:pivotFmt>
      <c:pivotFmt>
        <c:idx val="407"/>
        <c:marker>
          <c:symbol val="none"/>
        </c:marker>
      </c:pivotFmt>
      <c:pivotFmt>
        <c:idx val="408"/>
        <c:marker>
          <c:symbol val="none"/>
        </c:marker>
      </c:pivotFmt>
      <c:pivotFmt>
        <c:idx val="409"/>
        <c:marker>
          <c:symbol val="none"/>
        </c:marker>
      </c:pivotFmt>
      <c:pivotFmt>
        <c:idx val="410"/>
        <c:marker>
          <c:symbol val="none"/>
        </c:marker>
      </c:pivotFmt>
      <c:pivotFmt>
        <c:idx val="411"/>
        <c:marker>
          <c:symbol val="none"/>
        </c:marker>
      </c:pivotFmt>
      <c:pivotFmt>
        <c:idx val="412"/>
        <c:marker>
          <c:symbol val="none"/>
        </c:marker>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13"/>
        <c:marker>
          <c:symbol val="none"/>
        </c:marker>
      </c:pivotFmt>
      <c:pivotFmt>
        <c:idx val="414"/>
        <c:marker>
          <c:symbol val="none"/>
        </c:marker>
      </c:pivotFmt>
      <c:pivotFmt>
        <c:idx val="415"/>
        <c:marker>
          <c:symbol val="none"/>
        </c:marker>
      </c:pivotFmt>
      <c:pivotFmt>
        <c:idx val="416"/>
        <c:marker>
          <c:symbol val="none"/>
        </c:marker>
      </c:pivotFmt>
      <c:pivotFmt>
        <c:idx val="417"/>
        <c:marker>
          <c:symbol val="none"/>
        </c:marker>
      </c:pivotFmt>
      <c:pivotFmt>
        <c:idx val="418"/>
        <c:marker>
          <c:symbol val="none"/>
        </c:marker>
      </c:pivotFmt>
      <c:pivotFmt>
        <c:idx val="419"/>
        <c:marker>
          <c:symbol val="none"/>
        </c:marker>
      </c:pivotFmt>
      <c:pivotFmt>
        <c:idx val="420"/>
        <c:marker>
          <c:symbol val="none"/>
        </c:marker>
      </c:pivotFmt>
      <c:pivotFmt>
        <c:idx val="421"/>
        <c:marker>
          <c:symbol val="none"/>
        </c:marker>
      </c:pivotFmt>
      <c:pivotFmt>
        <c:idx val="422"/>
        <c:marker>
          <c:symbol val="none"/>
        </c:marker>
      </c:pivotFmt>
      <c:pivotFmt>
        <c:idx val="423"/>
        <c:marker>
          <c:symbol val="none"/>
        </c:marker>
      </c:pivotFmt>
      <c:pivotFmt>
        <c:idx val="424"/>
        <c:marker>
          <c:symbol val="none"/>
        </c:marker>
      </c:pivotFmt>
      <c:pivotFmt>
        <c:idx val="425"/>
        <c:marker>
          <c:symbol val="none"/>
        </c:marker>
      </c:pivotFmt>
      <c:pivotFmt>
        <c:idx val="426"/>
        <c:marker>
          <c:symbol val="none"/>
        </c:marker>
      </c:pivotFmt>
      <c:pivotFmt>
        <c:idx val="427"/>
        <c:marker>
          <c:symbol val="none"/>
        </c:marker>
      </c:pivotFmt>
      <c:pivotFmt>
        <c:idx val="428"/>
        <c:marker>
          <c:symbol val="none"/>
        </c:marker>
      </c:pivotFmt>
      <c:pivotFmt>
        <c:idx val="429"/>
        <c:marker>
          <c:symbol val="none"/>
        </c:marker>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30"/>
        <c:marker>
          <c:symbol val="none"/>
        </c:marker>
      </c:pivotFmt>
      <c:pivotFmt>
        <c:idx val="431"/>
        <c:marker>
          <c:symbol val="none"/>
        </c:marker>
      </c:pivotFmt>
      <c:pivotFmt>
        <c:idx val="432"/>
        <c:marker>
          <c:symbol val="none"/>
        </c:marker>
      </c:pivotFmt>
      <c:pivotFmt>
        <c:idx val="433"/>
        <c:marker>
          <c:symbol val="none"/>
        </c:marker>
      </c:pivotFmt>
      <c:pivotFmt>
        <c:idx val="434"/>
        <c:marker>
          <c:symbol val="none"/>
        </c:marker>
      </c:pivotFmt>
      <c:pivotFmt>
        <c:idx val="435"/>
        <c:marker>
          <c:symbol val="none"/>
        </c:marker>
      </c:pivotFmt>
      <c:pivotFmt>
        <c:idx val="436"/>
        <c:marker>
          <c:symbol val="none"/>
        </c:marker>
      </c:pivotFmt>
      <c:pivotFmt>
        <c:idx val="437"/>
        <c:marker>
          <c:symbol val="none"/>
        </c:marker>
      </c:pivotFmt>
      <c:pivotFmt>
        <c:idx val="438"/>
        <c:marker>
          <c:symbol val="none"/>
        </c:marker>
      </c:pivotFmt>
      <c:pivotFmt>
        <c:idx val="439"/>
        <c:marker>
          <c:symbol val="none"/>
        </c:marker>
      </c:pivotFmt>
      <c:pivotFmt>
        <c:idx val="440"/>
        <c:marker>
          <c:symbol val="none"/>
        </c:marker>
      </c:pivotFmt>
      <c:pivotFmt>
        <c:idx val="441"/>
        <c:marker>
          <c:symbol val="none"/>
        </c:marker>
      </c:pivotFmt>
      <c:pivotFmt>
        <c:idx val="442"/>
        <c:marker>
          <c:symbol val="none"/>
        </c:marker>
      </c:pivotFmt>
      <c:pivotFmt>
        <c:idx val="443"/>
        <c:marker>
          <c:symbol val="none"/>
        </c:marker>
      </c:pivotFmt>
      <c:pivotFmt>
        <c:idx val="444"/>
        <c:marker>
          <c:symbol val="none"/>
        </c:marker>
      </c:pivotFmt>
      <c:pivotFmt>
        <c:idx val="445"/>
        <c:marker>
          <c:symbol val="none"/>
        </c:marker>
      </c:pivotFmt>
      <c:pivotFmt>
        <c:idx val="446"/>
        <c:marker>
          <c:symbol val="none"/>
        </c:marker>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'comparators (5)'!$B$37:$B$39</c:f>
              <c:strCache>
                <c:ptCount val="1"/>
                <c:pt idx="0">
                  <c:v>2017-18 - APRIL</c:v>
                </c:pt>
              </c:strCache>
            </c:strRef>
          </c:tx>
          <c:invertIfNegative val="0"/>
          <c:cat>
            <c:strRef>
              <c:f>'comparators (5)'!$A$40:$A$46</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(5)'!$B$40:$B$46</c:f>
              <c:numCache>
                <c:formatCode>General</c:formatCode>
                <c:ptCount val="6"/>
                <c:pt idx="0">
                  <c:v>22</c:v>
                </c:pt>
                <c:pt idx="1">
                  <c:v>190</c:v>
                </c:pt>
                <c:pt idx="2">
                  <c:v>0</c:v>
                </c:pt>
                <c:pt idx="3">
                  <c:v>372</c:v>
                </c:pt>
                <c:pt idx="4">
                  <c:v>0</c:v>
                </c:pt>
                <c:pt idx="5">
                  <c:v>25</c:v>
                </c:pt>
              </c:numCache>
            </c:numRef>
          </c:val>
        </c:ser>
        <c:ser>
          <c:idx val="1"/>
          <c:order val="1"/>
          <c:tx>
            <c:strRef>
              <c:f>'comparators (5)'!$C$37:$C$39</c:f>
              <c:strCache>
                <c:ptCount val="1"/>
                <c:pt idx="0">
                  <c:v>2017-18 - MAY</c:v>
                </c:pt>
              </c:strCache>
            </c:strRef>
          </c:tx>
          <c:invertIfNegative val="0"/>
          <c:cat>
            <c:strRef>
              <c:f>'comparators (5)'!$A$40:$A$46</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(5)'!$C$40:$C$46</c:f>
              <c:numCache>
                <c:formatCode>General</c:formatCode>
                <c:ptCount val="6"/>
                <c:pt idx="0">
                  <c:v>39</c:v>
                </c:pt>
                <c:pt idx="1">
                  <c:v>151</c:v>
                </c:pt>
                <c:pt idx="2">
                  <c:v>0</c:v>
                </c:pt>
                <c:pt idx="3">
                  <c:v>562</c:v>
                </c:pt>
                <c:pt idx="4">
                  <c:v>0</c:v>
                </c:pt>
                <c:pt idx="5">
                  <c:v>99</c:v>
                </c:pt>
              </c:numCache>
            </c:numRef>
          </c:val>
        </c:ser>
        <c:ser>
          <c:idx val="2"/>
          <c:order val="2"/>
          <c:tx>
            <c:strRef>
              <c:f>'comparators (5)'!$D$37:$D$39</c:f>
              <c:strCache>
                <c:ptCount val="1"/>
                <c:pt idx="0">
                  <c:v>2017-18 - JUNE</c:v>
                </c:pt>
              </c:strCache>
            </c:strRef>
          </c:tx>
          <c:invertIfNegative val="0"/>
          <c:cat>
            <c:strRef>
              <c:f>'comparators (5)'!$A$40:$A$46</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(5)'!$D$40:$D$46</c:f>
              <c:numCache>
                <c:formatCode>General</c:formatCode>
                <c:ptCount val="6"/>
                <c:pt idx="0">
                  <c:v>31</c:v>
                </c:pt>
                <c:pt idx="1">
                  <c:v>115</c:v>
                </c:pt>
                <c:pt idx="2">
                  <c:v>0</c:v>
                </c:pt>
                <c:pt idx="3">
                  <c:v>800</c:v>
                </c:pt>
                <c:pt idx="4">
                  <c:v>0</c:v>
                </c:pt>
                <c:pt idx="5">
                  <c:v>25</c:v>
                </c:pt>
              </c:numCache>
            </c:numRef>
          </c:val>
        </c:ser>
        <c:ser>
          <c:idx val="3"/>
          <c:order val="3"/>
          <c:tx>
            <c:strRef>
              <c:f>'comparators (5)'!$E$37:$E$39</c:f>
              <c:strCache>
                <c:ptCount val="1"/>
                <c:pt idx="0">
                  <c:v>2017-18 - JULY</c:v>
                </c:pt>
              </c:strCache>
            </c:strRef>
          </c:tx>
          <c:invertIfNegative val="0"/>
          <c:cat>
            <c:strRef>
              <c:f>'comparators (5)'!$A$40:$A$46</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(5)'!$E$40:$E$46</c:f>
              <c:numCache>
                <c:formatCode>General</c:formatCode>
                <c:ptCount val="6"/>
                <c:pt idx="0">
                  <c:v>25</c:v>
                </c:pt>
                <c:pt idx="1">
                  <c:v>74</c:v>
                </c:pt>
                <c:pt idx="2">
                  <c:v>0</c:v>
                </c:pt>
                <c:pt idx="3">
                  <c:v>1050</c:v>
                </c:pt>
                <c:pt idx="4">
                  <c:v>0</c:v>
                </c:pt>
                <c:pt idx="5">
                  <c:v>43</c:v>
                </c:pt>
              </c:numCache>
            </c:numRef>
          </c:val>
        </c:ser>
        <c:ser>
          <c:idx val="4"/>
          <c:order val="4"/>
          <c:tx>
            <c:strRef>
              <c:f>'comparators (5)'!$F$37:$F$39</c:f>
              <c:strCache>
                <c:ptCount val="1"/>
                <c:pt idx="0">
                  <c:v>2017-18 - AUGUST</c:v>
                </c:pt>
              </c:strCache>
            </c:strRef>
          </c:tx>
          <c:invertIfNegative val="0"/>
          <c:cat>
            <c:strRef>
              <c:f>'comparators (5)'!$A$40:$A$46</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(5)'!$F$40:$F$46</c:f>
              <c:numCache>
                <c:formatCode>General</c:formatCode>
                <c:ptCount val="6"/>
                <c:pt idx="0">
                  <c:v>16</c:v>
                </c:pt>
                <c:pt idx="1">
                  <c:v>125</c:v>
                </c:pt>
                <c:pt idx="2">
                  <c:v>0</c:v>
                </c:pt>
                <c:pt idx="3">
                  <c:v>573</c:v>
                </c:pt>
                <c:pt idx="4">
                  <c:v>0</c:v>
                </c:pt>
                <c:pt idx="5">
                  <c:v>33</c:v>
                </c:pt>
              </c:numCache>
            </c:numRef>
          </c:val>
        </c:ser>
        <c:ser>
          <c:idx val="5"/>
          <c:order val="5"/>
          <c:tx>
            <c:strRef>
              <c:f>'comparators (5)'!$G$37:$G$39</c:f>
              <c:strCache>
                <c:ptCount val="1"/>
                <c:pt idx="0">
                  <c:v>2017-18 - SEPTEMBER</c:v>
                </c:pt>
              </c:strCache>
            </c:strRef>
          </c:tx>
          <c:invertIfNegative val="0"/>
          <c:cat>
            <c:strRef>
              <c:f>'comparators (5)'!$A$40:$A$46</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(5)'!$G$40:$G$46</c:f>
              <c:numCache>
                <c:formatCode>General</c:formatCode>
                <c:ptCount val="6"/>
                <c:pt idx="0">
                  <c:v>35</c:v>
                </c:pt>
                <c:pt idx="1">
                  <c:v>92</c:v>
                </c:pt>
                <c:pt idx="2">
                  <c:v>0</c:v>
                </c:pt>
                <c:pt idx="3">
                  <c:v>417</c:v>
                </c:pt>
                <c:pt idx="4">
                  <c:v>0</c:v>
                </c:pt>
                <c:pt idx="5">
                  <c:v>29</c:v>
                </c:pt>
              </c:numCache>
            </c:numRef>
          </c:val>
        </c:ser>
        <c:ser>
          <c:idx val="6"/>
          <c:order val="6"/>
          <c:tx>
            <c:strRef>
              <c:f>'comparators (5)'!$H$37:$H$39</c:f>
              <c:strCache>
                <c:ptCount val="1"/>
                <c:pt idx="0">
                  <c:v>2017-18 - OCTOBER</c:v>
                </c:pt>
              </c:strCache>
            </c:strRef>
          </c:tx>
          <c:invertIfNegative val="0"/>
          <c:cat>
            <c:strRef>
              <c:f>'comparators (5)'!$A$40:$A$46</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(5)'!$H$40:$H$46</c:f>
              <c:numCache>
                <c:formatCode>General</c:formatCode>
                <c:ptCount val="6"/>
                <c:pt idx="0">
                  <c:v>51</c:v>
                </c:pt>
                <c:pt idx="1">
                  <c:v>23</c:v>
                </c:pt>
                <c:pt idx="2">
                  <c:v>0</c:v>
                </c:pt>
                <c:pt idx="3">
                  <c:v>303</c:v>
                </c:pt>
                <c:pt idx="4">
                  <c:v>0</c:v>
                </c:pt>
                <c:pt idx="5">
                  <c:v>27</c:v>
                </c:pt>
              </c:numCache>
            </c:numRef>
          </c:val>
        </c:ser>
        <c:ser>
          <c:idx val="7"/>
          <c:order val="7"/>
          <c:tx>
            <c:strRef>
              <c:f>'comparators (5)'!$I$37:$I$39</c:f>
              <c:strCache>
                <c:ptCount val="1"/>
                <c:pt idx="0">
                  <c:v>2017-18 - NOVEMBER</c:v>
                </c:pt>
              </c:strCache>
            </c:strRef>
          </c:tx>
          <c:invertIfNegative val="0"/>
          <c:cat>
            <c:strRef>
              <c:f>'comparators (5)'!$A$40:$A$46</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(5)'!$I$40:$I$46</c:f>
              <c:numCache>
                <c:formatCode>General</c:formatCode>
                <c:ptCount val="6"/>
                <c:pt idx="0">
                  <c:v>48</c:v>
                </c:pt>
                <c:pt idx="1">
                  <c:v>60</c:v>
                </c:pt>
                <c:pt idx="2">
                  <c:v>0</c:v>
                </c:pt>
                <c:pt idx="3">
                  <c:v>487</c:v>
                </c:pt>
                <c:pt idx="4">
                  <c:v>0</c:v>
                </c:pt>
                <c:pt idx="5">
                  <c:v>7</c:v>
                </c:pt>
              </c:numCache>
            </c:numRef>
          </c:val>
        </c:ser>
        <c:ser>
          <c:idx val="8"/>
          <c:order val="8"/>
          <c:tx>
            <c:strRef>
              <c:f>'comparators (5)'!$J$37:$J$39</c:f>
              <c:strCache>
                <c:ptCount val="1"/>
                <c:pt idx="0">
                  <c:v>2017-18 - DECEMBER</c:v>
                </c:pt>
              </c:strCache>
            </c:strRef>
          </c:tx>
          <c:invertIfNegative val="0"/>
          <c:cat>
            <c:strRef>
              <c:f>'comparators (5)'!$A$40:$A$46</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(5)'!$J$40:$J$46</c:f>
              <c:numCache>
                <c:formatCode>General</c:formatCode>
                <c:ptCount val="6"/>
                <c:pt idx="0">
                  <c:v>53</c:v>
                </c:pt>
                <c:pt idx="1">
                  <c:v>36</c:v>
                </c:pt>
                <c:pt idx="2">
                  <c:v>0</c:v>
                </c:pt>
                <c:pt idx="3">
                  <c:v>355</c:v>
                </c:pt>
                <c:pt idx="4">
                  <c:v>0</c:v>
                </c:pt>
                <c:pt idx="5">
                  <c:v>63</c:v>
                </c:pt>
              </c:numCache>
            </c:numRef>
          </c:val>
        </c:ser>
        <c:ser>
          <c:idx val="9"/>
          <c:order val="9"/>
          <c:tx>
            <c:strRef>
              <c:f>'comparators (5)'!$K$37:$K$39</c:f>
              <c:strCache>
                <c:ptCount val="1"/>
                <c:pt idx="0">
                  <c:v>2017-18 - JANUARY</c:v>
                </c:pt>
              </c:strCache>
            </c:strRef>
          </c:tx>
          <c:invertIfNegative val="0"/>
          <c:cat>
            <c:strRef>
              <c:f>'comparators (5)'!$A$40:$A$46</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(5)'!$K$40:$K$46</c:f>
              <c:numCache>
                <c:formatCode>General</c:formatCode>
                <c:ptCount val="6"/>
                <c:pt idx="0">
                  <c:v>31</c:v>
                </c:pt>
                <c:pt idx="1">
                  <c:v>45</c:v>
                </c:pt>
                <c:pt idx="2">
                  <c:v>0</c:v>
                </c:pt>
                <c:pt idx="3">
                  <c:v>262</c:v>
                </c:pt>
                <c:pt idx="4">
                  <c:v>0</c:v>
                </c:pt>
                <c:pt idx="5">
                  <c:v>91</c:v>
                </c:pt>
              </c:numCache>
            </c:numRef>
          </c:val>
        </c:ser>
        <c:ser>
          <c:idx val="10"/>
          <c:order val="10"/>
          <c:tx>
            <c:strRef>
              <c:f>'comparators (5)'!$L$37:$L$39</c:f>
              <c:strCache>
                <c:ptCount val="1"/>
                <c:pt idx="0">
                  <c:v>2017-18 - FEBRUARY</c:v>
                </c:pt>
              </c:strCache>
            </c:strRef>
          </c:tx>
          <c:invertIfNegative val="0"/>
          <c:cat>
            <c:strRef>
              <c:f>'comparators (5)'!$A$40:$A$46</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(5)'!$L$40:$L$46</c:f>
              <c:numCache>
                <c:formatCode>General</c:formatCode>
                <c:ptCount val="6"/>
                <c:pt idx="0">
                  <c:v>42</c:v>
                </c:pt>
                <c:pt idx="1">
                  <c:v>29</c:v>
                </c:pt>
                <c:pt idx="2">
                  <c:v>0</c:v>
                </c:pt>
                <c:pt idx="3">
                  <c:v>290</c:v>
                </c:pt>
                <c:pt idx="4">
                  <c:v>0</c:v>
                </c:pt>
                <c:pt idx="5">
                  <c:v>42</c:v>
                </c:pt>
              </c:numCache>
            </c:numRef>
          </c:val>
        </c:ser>
        <c:ser>
          <c:idx val="11"/>
          <c:order val="11"/>
          <c:tx>
            <c:strRef>
              <c:f>'comparators (5)'!$M$37:$M$39</c:f>
              <c:strCache>
                <c:ptCount val="1"/>
                <c:pt idx="0">
                  <c:v>2017-18 - MARCH</c:v>
                </c:pt>
              </c:strCache>
            </c:strRef>
          </c:tx>
          <c:invertIfNegative val="0"/>
          <c:cat>
            <c:strRef>
              <c:f>'comparators (5)'!$A$40:$A$46</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(5)'!$M$40:$M$46</c:f>
              <c:numCache>
                <c:formatCode>General</c:formatCode>
                <c:ptCount val="6"/>
                <c:pt idx="0">
                  <c:v>45</c:v>
                </c:pt>
                <c:pt idx="1">
                  <c:v>8</c:v>
                </c:pt>
                <c:pt idx="2">
                  <c:v>0</c:v>
                </c:pt>
                <c:pt idx="3">
                  <c:v>293</c:v>
                </c:pt>
                <c:pt idx="4">
                  <c:v>0</c:v>
                </c:pt>
                <c:pt idx="5">
                  <c:v>137</c:v>
                </c:pt>
              </c:numCache>
            </c:numRef>
          </c:val>
        </c:ser>
        <c:ser>
          <c:idx val="12"/>
          <c:order val="12"/>
          <c:tx>
            <c:strRef>
              <c:f>'comparators (5)'!$N$37:$N$39</c:f>
              <c:strCache>
                <c:ptCount val="1"/>
                <c:pt idx="0">
                  <c:v>2018-19 - APRIL</c:v>
                </c:pt>
              </c:strCache>
            </c:strRef>
          </c:tx>
          <c:invertIfNegative val="0"/>
          <c:cat>
            <c:strRef>
              <c:f>'comparators (5)'!$A$40:$A$46</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(5)'!$N$40:$N$46</c:f>
              <c:numCache>
                <c:formatCode>General</c:formatCode>
                <c:ptCount val="6"/>
                <c:pt idx="0">
                  <c:v>28</c:v>
                </c:pt>
                <c:pt idx="1">
                  <c:v>13</c:v>
                </c:pt>
                <c:pt idx="2">
                  <c:v>0</c:v>
                </c:pt>
                <c:pt idx="3">
                  <c:v>266</c:v>
                </c:pt>
                <c:pt idx="4">
                  <c:v>0</c:v>
                </c:pt>
                <c:pt idx="5">
                  <c:v>34</c:v>
                </c:pt>
              </c:numCache>
            </c:numRef>
          </c:val>
        </c:ser>
        <c:ser>
          <c:idx val="13"/>
          <c:order val="13"/>
          <c:tx>
            <c:strRef>
              <c:f>'comparators (5)'!$O$37:$O$39</c:f>
              <c:strCache>
                <c:ptCount val="1"/>
                <c:pt idx="0">
                  <c:v>2018-19 - MAY</c:v>
                </c:pt>
              </c:strCache>
            </c:strRef>
          </c:tx>
          <c:invertIfNegative val="0"/>
          <c:cat>
            <c:strRef>
              <c:f>'comparators (5)'!$A$40:$A$46</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(5)'!$O$40:$O$46</c:f>
              <c:numCache>
                <c:formatCode>General</c:formatCode>
                <c:ptCount val="6"/>
                <c:pt idx="0">
                  <c:v>33</c:v>
                </c:pt>
                <c:pt idx="1">
                  <c:v>32</c:v>
                </c:pt>
                <c:pt idx="2">
                  <c:v>0</c:v>
                </c:pt>
                <c:pt idx="3">
                  <c:v>268</c:v>
                </c:pt>
                <c:pt idx="4">
                  <c:v>0</c:v>
                </c:pt>
                <c:pt idx="5">
                  <c:v>85</c:v>
                </c:pt>
              </c:numCache>
            </c:numRef>
          </c:val>
        </c:ser>
        <c:ser>
          <c:idx val="14"/>
          <c:order val="14"/>
          <c:tx>
            <c:strRef>
              <c:f>'comparators (5)'!$P$37:$P$39</c:f>
              <c:strCache>
                <c:ptCount val="1"/>
                <c:pt idx="0">
                  <c:v>2018-19 - JUNE</c:v>
                </c:pt>
              </c:strCache>
            </c:strRef>
          </c:tx>
          <c:invertIfNegative val="0"/>
          <c:cat>
            <c:strRef>
              <c:f>'comparators (5)'!$A$40:$A$46</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(5)'!$P$40:$P$46</c:f>
              <c:numCache>
                <c:formatCode>General</c:formatCode>
                <c:ptCount val="6"/>
                <c:pt idx="0">
                  <c:v>73</c:v>
                </c:pt>
                <c:pt idx="1">
                  <c:v>0</c:v>
                </c:pt>
                <c:pt idx="2">
                  <c:v>0</c:v>
                </c:pt>
                <c:pt idx="3">
                  <c:v>196</c:v>
                </c:pt>
                <c:pt idx="4">
                  <c:v>0</c:v>
                </c:pt>
                <c:pt idx="5">
                  <c:v>29</c:v>
                </c:pt>
              </c:numCache>
            </c:numRef>
          </c:val>
        </c:ser>
        <c:ser>
          <c:idx val="15"/>
          <c:order val="15"/>
          <c:tx>
            <c:strRef>
              <c:f>'comparators (5)'!$Q$37:$Q$39</c:f>
              <c:strCache>
                <c:ptCount val="1"/>
                <c:pt idx="0">
                  <c:v>2018-19 - JULY</c:v>
                </c:pt>
              </c:strCache>
            </c:strRef>
          </c:tx>
          <c:invertIfNegative val="0"/>
          <c:cat>
            <c:strRef>
              <c:f>'comparators (5)'!$A$40:$A$46</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(5)'!$Q$40:$Q$46</c:f>
              <c:numCache>
                <c:formatCode>General</c:formatCode>
                <c:ptCount val="6"/>
                <c:pt idx="0">
                  <c:v>70</c:v>
                </c:pt>
                <c:pt idx="1">
                  <c:v>33</c:v>
                </c:pt>
                <c:pt idx="2">
                  <c:v>0</c:v>
                </c:pt>
                <c:pt idx="3">
                  <c:v>174</c:v>
                </c:pt>
                <c:pt idx="4">
                  <c:v>0</c:v>
                </c:pt>
                <c:pt idx="5">
                  <c:v>0</c:v>
                </c:pt>
              </c:numCache>
            </c:numRef>
          </c:val>
        </c:ser>
        <c:ser>
          <c:idx val="16"/>
          <c:order val="16"/>
          <c:tx>
            <c:strRef>
              <c:f>'comparators (5)'!$R$37:$R$39</c:f>
              <c:strCache>
                <c:ptCount val="1"/>
                <c:pt idx="0">
                  <c:v>2018-19 - AUGUST</c:v>
                </c:pt>
              </c:strCache>
            </c:strRef>
          </c:tx>
          <c:invertIfNegative val="0"/>
          <c:dLbls>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'comparators (5)'!$A$40:$A$46</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(5)'!$R$40:$R$46</c:f>
              <c:numCache>
                <c:formatCode>General</c:formatCode>
                <c:ptCount val="6"/>
                <c:pt idx="0">
                  <c:v>69</c:v>
                </c:pt>
                <c:pt idx="1">
                  <c:v>43</c:v>
                </c:pt>
                <c:pt idx="2">
                  <c:v>0</c:v>
                </c:pt>
                <c:pt idx="3">
                  <c:v>228</c:v>
                </c:pt>
                <c:pt idx="4">
                  <c:v>0</c:v>
                </c:pt>
                <c:pt idx="5">
                  <c:v>21</c:v>
                </c:pt>
              </c:numCache>
            </c:numRef>
          </c:val>
        </c:ser>
        <c:dLbls>
          <c:showLegendKey val="0"/>
          <c:showVal val="0"/>
          <c:showCatName val="0"/>
          <c:showSerName val="0"/>
          <c:showPercent val="0"/>
          <c:showBubbleSize val="0"/>
        </c:dLbls>
        <c:gapWidth val="150"/>
        <c:axId val="344008072"/>
        <c:axId val="344008464"/>
      </c:barChart>
      <c:catAx>
        <c:axId val="344008072"/>
        <c:scaling>
          <c:orientation val="minMax"/>
        </c:scaling>
        <c:delete val="0"/>
        <c:axPos val="b"/>
        <c:numFmt formatCode="General" sourceLinked="0"/>
        <c:majorTickMark val="out"/>
        <c:minorTickMark val="none"/>
        <c:tickLblPos val="nextTo"/>
        <c:txPr>
          <a:bodyPr/>
          <a:lstStyle/>
          <a:p>
            <a:pPr>
              <a:defRPr sz="800" baseline="0"/>
            </a:pPr>
            <a:endParaRPr lang="en-US"/>
          </a:p>
        </c:txPr>
        <c:crossAx val="344008464"/>
        <c:crosses val="autoZero"/>
        <c:auto val="1"/>
        <c:lblAlgn val="ctr"/>
        <c:lblOffset val="100"/>
        <c:noMultiLvlLbl val="0"/>
      </c:catAx>
      <c:valAx>
        <c:axId val="344008464"/>
        <c:scaling>
          <c:orientation val="minMax"/>
        </c:scaling>
        <c:delete val="0"/>
        <c:axPos val="l"/>
        <c:majorGridlines/>
        <c:numFmt formatCode="General" sourceLinked="1"/>
        <c:majorTickMark val="out"/>
        <c:minorTickMark val="none"/>
        <c:tickLblPos val="nextTo"/>
        <c:crossAx val="344008072"/>
        <c:crosses val="autoZero"/>
        <c:crossBetween val="between"/>
      </c:valAx>
    </c:plotArea>
    <c:legend>
      <c:legendPos val="b"/>
      <c:overlay val="0"/>
      <c:txPr>
        <a:bodyPr/>
        <a:lstStyle/>
        <a:p>
          <a:pPr>
            <a:defRPr sz="800" baseline="0"/>
          </a:pPr>
          <a:endParaRPr lang="en-US"/>
        </a:p>
      </c:txPr>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[DTOC 2016_17 to 2018_19 revised1.xlsx]comparators (2)!PivotTable2</c:name>
    <c:fmtId val="857"/>
  </c:pivotSource>
  <c:chart>
    <c:title>
      <c:tx>
        <c:rich>
          <a:bodyPr/>
          <a:lstStyle/>
          <a:p>
            <a:pPr>
              <a:defRPr/>
            </a:pPr>
            <a:r>
              <a:rPr lang="en-GB" sz="1200"/>
              <a:t>2016/17 to 2018/19 delayed days during the month - Lancashire </a:t>
            </a:r>
          </a:p>
        </c:rich>
      </c:tx>
      <c:layout>
        <c:manualLayout>
          <c:xMode val="edge"/>
          <c:yMode val="edge"/>
          <c:x val="0.15217259982191808"/>
          <c:y val="4.1910716096110301E-2"/>
        </c:manualLayout>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pivotFmt>
      <c:pivotFmt>
        <c:idx val="61"/>
        <c:marker>
          <c:symbol val="none"/>
        </c:marker>
      </c:pivotFmt>
      <c:pivotFmt>
        <c:idx val="62"/>
        <c:marker>
          <c:symbol val="none"/>
        </c:marker>
      </c:pivotFmt>
      <c:pivotFmt>
        <c:idx val="63"/>
        <c:marker>
          <c:symbol val="none"/>
        </c:marker>
      </c:pivotFmt>
      <c:pivotFmt>
        <c:idx val="64"/>
        <c:marker>
          <c:symbol val="none"/>
        </c:marker>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pivotFmt>
      <c:pivotFmt>
        <c:idx val="76"/>
        <c:marker>
          <c:symbol val="none"/>
        </c:marker>
      </c:pivotFmt>
      <c:pivotFmt>
        <c:idx val="77"/>
        <c:marker>
          <c:symbol val="none"/>
        </c:marker>
      </c:pivotFmt>
      <c:pivotFmt>
        <c:idx val="78"/>
        <c:marker>
          <c:symbol val="none"/>
        </c:marker>
      </c:pivotFmt>
      <c:pivotFmt>
        <c:idx val="79"/>
        <c:marker>
          <c:symbol val="none"/>
        </c:marker>
      </c:pivotFmt>
      <c:pivotFmt>
        <c:idx val="80"/>
        <c:marker>
          <c:symbol val="none"/>
        </c:marker>
      </c:pivotFmt>
      <c:pivotFmt>
        <c:idx val="81"/>
        <c:marker>
          <c:symbol val="none"/>
        </c:marker>
      </c:pivotFmt>
      <c:pivotFmt>
        <c:idx val="82"/>
        <c:marker>
          <c:symbol val="none"/>
        </c:marker>
      </c:pivotFmt>
      <c:pivotFmt>
        <c:idx val="83"/>
        <c:marker>
          <c:symbol val="none"/>
        </c:marker>
      </c:pivotFmt>
      <c:pivotFmt>
        <c:idx val="84"/>
        <c:marker>
          <c:symbol val="none"/>
        </c:marker>
      </c:pivotFmt>
      <c:pivotFmt>
        <c:idx val="85"/>
        <c:marker>
          <c:symbol val="none"/>
        </c:marker>
      </c:pivotFmt>
      <c:pivotFmt>
        <c:idx val="86"/>
        <c:marker>
          <c:symbol val="none"/>
        </c:marker>
      </c:pivotFmt>
      <c:pivotFmt>
        <c:idx val="87"/>
        <c:marker>
          <c:symbol val="none"/>
        </c:marker>
      </c:pivotFmt>
      <c:pivotFmt>
        <c:idx val="88"/>
        <c:marker>
          <c:symbol val="none"/>
        </c:marker>
      </c:pivotFmt>
      <c:pivotFmt>
        <c:idx val="89"/>
        <c:marker>
          <c:symbol val="none"/>
        </c:marker>
      </c:pivotFmt>
      <c:pivotFmt>
        <c:idx val="90"/>
        <c:marker>
          <c:symbol val="none"/>
        </c:marker>
      </c:pivotFmt>
      <c:pivotFmt>
        <c:idx val="91"/>
        <c:marker>
          <c:symbol val="none"/>
        </c:marker>
      </c:pivotFmt>
      <c:pivotFmt>
        <c:idx val="92"/>
        <c:marker>
          <c:symbol val="none"/>
        </c:marker>
      </c:pivotFmt>
      <c:pivotFmt>
        <c:idx val="93"/>
        <c:marker>
          <c:symbol val="none"/>
        </c:marker>
      </c:pivotFmt>
      <c:pivotFmt>
        <c:idx val="94"/>
        <c:marker>
          <c:symbol val="none"/>
        </c:marker>
      </c:pivotFmt>
      <c:pivotFmt>
        <c:idx val="95"/>
        <c:marker>
          <c:symbol val="none"/>
        </c:marker>
      </c:pivotFmt>
      <c:pivotFmt>
        <c:idx val="96"/>
        <c:marker>
          <c:symbol val="none"/>
        </c:marker>
      </c:pivotFmt>
      <c:pivotFmt>
        <c:idx val="97"/>
        <c:marker>
          <c:symbol val="none"/>
        </c:marker>
      </c:pivotFmt>
      <c:pivotFmt>
        <c:idx val="98"/>
        <c:marker>
          <c:symbol val="none"/>
        </c:marker>
      </c:pivotFmt>
      <c:pivotFmt>
        <c:idx val="99"/>
        <c:marker>
          <c:symbol val="none"/>
        </c:marker>
      </c:pivotFmt>
      <c:pivotFmt>
        <c:idx val="100"/>
        <c:marker>
          <c:symbol val="none"/>
        </c:marker>
      </c:pivotFmt>
      <c:pivotFmt>
        <c:idx val="101"/>
      </c:pivotFmt>
      <c:pivotFmt>
        <c:idx val="102"/>
        <c:marker>
          <c:symbol val="none"/>
        </c:marker>
      </c:pivotFmt>
      <c:pivotFmt>
        <c:idx val="103"/>
        <c:marker>
          <c:symbol val="none"/>
        </c:marker>
      </c:pivotFmt>
      <c:pivotFmt>
        <c:idx val="104"/>
        <c:marker>
          <c:symbol val="none"/>
        </c:marker>
      </c:pivotFmt>
      <c:pivotFmt>
        <c:idx val="105"/>
      </c:pivotFmt>
      <c:pivotFmt>
        <c:idx val="106"/>
      </c:pivotFmt>
      <c:pivotFmt>
        <c:idx val="107"/>
      </c:pivotFmt>
      <c:pivotFmt>
        <c:idx val="108"/>
      </c:pivotFmt>
      <c:pivotFmt>
        <c:idx val="109"/>
      </c:pivotFmt>
      <c:pivotFmt>
        <c:idx val="110"/>
      </c:pivotFmt>
      <c:pivotFmt>
        <c:idx val="111"/>
      </c:pivotFmt>
      <c:pivotFmt>
        <c:idx val="112"/>
      </c:pivotFmt>
      <c:pivotFmt>
        <c:idx val="113"/>
      </c:pivotFmt>
      <c:pivotFmt>
        <c:idx val="114"/>
      </c:pivotFmt>
      <c:pivotFmt>
        <c:idx val="115"/>
      </c:pivotFmt>
      <c:pivotFmt>
        <c:idx val="116"/>
      </c:pivotFmt>
      <c:pivotFmt>
        <c:idx val="117"/>
      </c:pivotFmt>
      <c:pivotFmt>
        <c:idx val="118"/>
      </c:pivotFmt>
      <c:pivotFmt>
        <c:idx val="119"/>
      </c:pivotFmt>
      <c:pivotFmt>
        <c:idx val="120"/>
      </c:pivotFmt>
      <c:pivotFmt>
        <c:idx val="121"/>
      </c:pivotFmt>
      <c:pivotFmt>
        <c:idx val="122"/>
      </c:pivotFmt>
      <c:pivotFmt>
        <c:idx val="123"/>
        <c:marker>
          <c:symbol val="none"/>
        </c:marker>
      </c:pivotFmt>
      <c:pivotFmt>
        <c:idx val="124"/>
        <c:marker>
          <c:symbol val="none"/>
        </c:marker>
      </c:pivotFmt>
      <c:pivotFmt>
        <c:idx val="125"/>
        <c:marker>
          <c:symbol val="none"/>
        </c:marker>
      </c:pivotFmt>
      <c:pivotFmt>
        <c:idx val="126"/>
        <c:marker>
          <c:symbol val="none"/>
        </c:marker>
      </c:pivotFmt>
      <c:pivotFmt>
        <c:idx val="127"/>
        <c:marker>
          <c:symbol val="none"/>
        </c:marker>
      </c:pivotFmt>
      <c:pivotFmt>
        <c:idx val="128"/>
        <c:marker>
          <c:symbol val="none"/>
        </c:marker>
      </c:pivotFmt>
      <c:pivotFmt>
        <c:idx val="129"/>
        <c:marker>
          <c:symbol val="none"/>
        </c:marker>
      </c:pivotFmt>
      <c:pivotFmt>
        <c:idx val="130"/>
        <c:marker>
          <c:symbol val="none"/>
        </c:marker>
      </c:pivotFmt>
      <c:pivotFmt>
        <c:idx val="131"/>
        <c:marker>
          <c:symbol val="none"/>
        </c:marker>
      </c:pivotFmt>
      <c:pivotFmt>
        <c:idx val="132"/>
        <c:marker>
          <c:symbol val="none"/>
        </c:marker>
      </c:pivotFmt>
      <c:pivotFmt>
        <c:idx val="133"/>
        <c:marker>
          <c:symbol val="none"/>
        </c:marker>
      </c:pivotFmt>
      <c:pivotFmt>
        <c:idx val="134"/>
        <c:marker>
          <c:symbol val="none"/>
        </c:marker>
      </c:pivotFmt>
      <c:pivotFmt>
        <c:idx val="135"/>
        <c:marker>
          <c:symbol val="none"/>
        </c:marker>
      </c:pivotFmt>
      <c:pivotFmt>
        <c:idx val="136"/>
        <c:marker>
          <c:symbol val="none"/>
        </c:marker>
      </c:pivotFmt>
      <c:pivotFmt>
        <c:idx val="137"/>
        <c:marker>
          <c:symbol val="none"/>
        </c:marker>
      </c:pivotFmt>
      <c:pivotFmt>
        <c:idx val="138"/>
        <c:marker>
          <c:symbol val="none"/>
        </c:marker>
      </c:pivotFmt>
      <c:pivotFmt>
        <c:idx val="139"/>
        <c:marker>
          <c:symbol val="none"/>
        </c:marker>
      </c:pivotFmt>
      <c:pivotFmt>
        <c:idx val="140"/>
        <c:marker>
          <c:symbol val="none"/>
        </c:marker>
      </c:pivotFmt>
      <c:pivotFmt>
        <c:idx val="141"/>
        <c:marker>
          <c:symbol val="none"/>
        </c:marker>
      </c:pivotFmt>
      <c:pivotFmt>
        <c:idx val="142"/>
        <c:marker>
          <c:symbol val="none"/>
        </c:marker>
      </c:pivotFmt>
      <c:pivotFmt>
        <c:idx val="143"/>
        <c:marker>
          <c:symbol val="none"/>
        </c:marker>
      </c:pivotFmt>
      <c:pivotFmt>
        <c:idx val="144"/>
        <c:marker>
          <c:symbol val="none"/>
        </c:marker>
      </c:pivotFmt>
      <c:pivotFmt>
        <c:idx val="145"/>
        <c:marker>
          <c:symbol val="none"/>
        </c:marker>
      </c:pivotFmt>
      <c:pivotFmt>
        <c:idx val="146"/>
        <c:marker>
          <c:symbol val="none"/>
        </c:marker>
      </c:pivotFmt>
      <c:pivotFmt>
        <c:idx val="147"/>
        <c:marker>
          <c:symbol val="none"/>
        </c:marker>
      </c:pivotFmt>
      <c:pivotFmt>
        <c:idx val="148"/>
        <c:marker>
          <c:symbol val="none"/>
        </c:marker>
      </c:pivotFmt>
      <c:pivotFmt>
        <c:idx val="149"/>
        <c:marker>
          <c:symbol val="none"/>
        </c:marker>
      </c:pivotFmt>
      <c:pivotFmt>
        <c:idx val="150"/>
        <c:marker>
          <c:symbol val="none"/>
        </c:marker>
      </c:pivotFmt>
      <c:pivotFmt>
        <c:idx val="151"/>
        <c:marker>
          <c:symbol val="none"/>
        </c:marker>
      </c:pivotFmt>
      <c:pivotFmt>
        <c:idx val="152"/>
        <c:marker>
          <c:symbol val="none"/>
        </c:marker>
      </c:pivotFmt>
      <c:pivotFmt>
        <c:idx val="153"/>
        <c:marker>
          <c:symbol val="none"/>
        </c:marker>
      </c:pivotFmt>
      <c:pivotFmt>
        <c:idx val="154"/>
        <c:marker>
          <c:symbol val="none"/>
        </c:marker>
      </c:pivotFmt>
      <c:pivotFmt>
        <c:idx val="155"/>
        <c:marker>
          <c:symbol val="none"/>
        </c:marker>
      </c:pivotFmt>
      <c:pivotFmt>
        <c:idx val="156"/>
        <c:marker>
          <c:symbol val="none"/>
        </c:marker>
      </c:pivotFmt>
      <c:pivotFmt>
        <c:idx val="157"/>
        <c:marker>
          <c:symbol val="none"/>
        </c:marker>
      </c:pivotFmt>
      <c:pivotFmt>
        <c:idx val="158"/>
        <c:marker>
          <c:symbol val="none"/>
        </c:marker>
      </c:pivotFmt>
      <c:pivotFmt>
        <c:idx val="159"/>
        <c:marker>
          <c:symbol val="none"/>
        </c:marker>
      </c:pivotFmt>
      <c:pivotFmt>
        <c:idx val="160"/>
        <c:marker>
          <c:symbol val="none"/>
        </c:marker>
      </c:pivotFmt>
      <c:pivotFmt>
        <c:idx val="161"/>
        <c:marker>
          <c:symbol val="none"/>
        </c:marker>
      </c:pivotFmt>
      <c:pivotFmt>
        <c:idx val="162"/>
        <c:marker>
          <c:symbol val="none"/>
        </c:marker>
      </c:pivotFmt>
      <c:pivotFmt>
        <c:idx val="163"/>
        <c:marker>
          <c:symbol val="none"/>
        </c:marker>
      </c:pivotFmt>
      <c:pivotFmt>
        <c:idx val="164"/>
        <c:marker>
          <c:symbol val="none"/>
        </c:marker>
      </c:pivotFmt>
      <c:pivotFmt>
        <c:idx val="165"/>
        <c:marker>
          <c:symbol val="none"/>
        </c:marker>
      </c:pivotFmt>
      <c:pivotFmt>
        <c:idx val="166"/>
        <c:marker>
          <c:symbol val="none"/>
        </c:marker>
      </c:pivotFmt>
      <c:pivotFmt>
        <c:idx val="167"/>
        <c:marker>
          <c:symbol val="none"/>
        </c:marker>
      </c:pivotFmt>
      <c:pivotFmt>
        <c:idx val="168"/>
        <c:marker>
          <c:symbol val="none"/>
        </c:marker>
      </c:pivotFmt>
      <c:pivotFmt>
        <c:idx val="169"/>
        <c:marker>
          <c:symbol val="none"/>
        </c:marker>
      </c:pivotFmt>
      <c:pivotFmt>
        <c:idx val="170"/>
        <c:marker>
          <c:symbol val="none"/>
        </c:marker>
      </c:pivotFmt>
      <c:pivotFmt>
        <c:idx val="171"/>
        <c:marker>
          <c:symbol val="none"/>
        </c:marker>
      </c:pivotFmt>
      <c:pivotFmt>
        <c:idx val="172"/>
        <c:marker>
          <c:symbol val="none"/>
        </c:marker>
      </c:pivotFmt>
      <c:pivotFmt>
        <c:idx val="173"/>
        <c:marker>
          <c:symbol val="none"/>
        </c:marker>
      </c:pivotFmt>
      <c:pivotFmt>
        <c:idx val="174"/>
        <c:marker>
          <c:symbol val="none"/>
        </c:marker>
      </c:pivotFmt>
      <c:pivotFmt>
        <c:idx val="175"/>
        <c:marker>
          <c:symbol val="none"/>
        </c:marker>
      </c:pivotFmt>
      <c:pivotFmt>
        <c:idx val="176"/>
        <c:marker>
          <c:symbol val="none"/>
        </c:marker>
      </c:pivotFmt>
      <c:pivotFmt>
        <c:idx val="177"/>
        <c:marker>
          <c:symbol val="none"/>
        </c:marker>
      </c:pivotFmt>
      <c:pivotFmt>
        <c:idx val="178"/>
        <c:marker>
          <c:symbol val="none"/>
        </c:marker>
      </c:pivotFmt>
      <c:pivotFmt>
        <c:idx val="179"/>
        <c:marker>
          <c:symbol val="none"/>
        </c:marker>
      </c:pivotFmt>
      <c:pivotFmt>
        <c:idx val="180"/>
        <c:marker>
          <c:symbol val="none"/>
        </c:marker>
      </c:pivotFmt>
      <c:pivotFmt>
        <c:idx val="181"/>
        <c:marker>
          <c:symbol val="none"/>
        </c:marker>
      </c:pivotFmt>
      <c:pivotFmt>
        <c:idx val="182"/>
        <c:marker>
          <c:symbol val="none"/>
        </c:marker>
      </c:pivotFmt>
      <c:pivotFmt>
        <c:idx val="183"/>
        <c:marker>
          <c:symbol val="none"/>
        </c:marker>
      </c:pivotFmt>
      <c:pivotFmt>
        <c:idx val="184"/>
        <c:marker>
          <c:symbol val="none"/>
        </c:marker>
      </c:pivotFmt>
      <c:pivotFmt>
        <c:idx val="185"/>
        <c:marker>
          <c:symbol val="none"/>
        </c:marker>
      </c:pivotFmt>
      <c:pivotFmt>
        <c:idx val="186"/>
        <c:marker>
          <c:symbol val="none"/>
        </c:marker>
      </c:pivotFmt>
      <c:pivotFmt>
        <c:idx val="187"/>
        <c:marker>
          <c:symbol val="none"/>
        </c:marker>
      </c:pivotFmt>
      <c:pivotFmt>
        <c:idx val="188"/>
        <c:marker>
          <c:symbol val="none"/>
        </c:marker>
      </c:pivotFmt>
      <c:pivotFmt>
        <c:idx val="189"/>
        <c:marker>
          <c:symbol val="none"/>
        </c:marker>
      </c:pivotFmt>
      <c:pivotFmt>
        <c:idx val="190"/>
        <c:marker>
          <c:symbol val="none"/>
        </c:marker>
      </c:pivotFmt>
      <c:pivotFmt>
        <c:idx val="191"/>
        <c:marker>
          <c:symbol val="none"/>
        </c:marker>
      </c:pivotFmt>
      <c:pivotFmt>
        <c:idx val="192"/>
        <c:marker>
          <c:symbol val="none"/>
        </c:marker>
      </c:pivotFmt>
      <c:pivotFmt>
        <c:idx val="193"/>
        <c:marker>
          <c:symbol val="none"/>
        </c:marker>
      </c:pivotFmt>
      <c:pivotFmt>
        <c:idx val="194"/>
        <c:marker>
          <c:symbol val="none"/>
        </c:marker>
      </c:pivotFmt>
      <c:pivotFmt>
        <c:idx val="195"/>
        <c:marker>
          <c:symbol val="none"/>
        </c:marker>
      </c:pivotFmt>
      <c:pivotFmt>
        <c:idx val="196"/>
        <c:marker>
          <c:symbol val="none"/>
        </c:marker>
      </c:pivotFmt>
      <c:pivotFmt>
        <c:idx val="197"/>
        <c:marker>
          <c:symbol val="none"/>
        </c:marker>
      </c:pivotFmt>
      <c:pivotFmt>
        <c:idx val="198"/>
        <c:marker>
          <c:symbol val="none"/>
        </c:marker>
      </c:pivotFmt>
      <c:pivotFmt>
        <c:idx val="199"/>
        <c:marker>
          <c:symbol val="none"/>
        </c:marker>
      </c:pivotFmt>
      <c:pivotFmt>
        <c:idx val="200"/>
        <c:marker>
          <c:symbol val="none"/>
        </c:marker>
      </c:pivotFmt>
      <c:pivotFmt>
        <c:idx val="201"/>
        <c:marker>
          <c:symbol val="none"/>
        </c:marker>
      </c:pivotFmt>
      <c:pivotFmt>
        <c:idx val="202"/>
        <c:marker>
          <c:symbol val="none"/>
        </c:marker>
      </c:pivotFmt>
      <c:pivotFmt>
        <c:idx val="203"/>
        <c:marker>
          <c:symbol val="none"/>
        </c:marker>
      </c:pivotFmt>
      <c:pivotFmt>
        <c:idx val="204"/>
        <c:marker>
          <c:symbol val="none"/>
        </c:marker>
      </c:pivotFmt>
      <c:pivotFmt>
        <c:idx val="205"/>
        <c:marker>
          <c:symbol val="none"/>
        </c:marker>
      </c:pivotFmt>
      <c:pivotFmt>
        <c:idx val="206"/>
        <c:marker>
          <c:symbol val="none"/>
        </c:marker>
      </c:pivotFmt>
      <c:pivotFmt>
        <c:idx val="207"/>
        <c:marker>
          <c:symbol val="none"/>
        </c:marker>
      </c:pivotFmt>
      <c:pivotFmt>
        <c:idx val="208"/>
        <c:marker>
          <c:symbol val="none"/>
        </c:marker>
      </c:pivotFmt>
      <c:pivotFmt>
        <c:idx val="209"/>
        <c:marker>
          <c:symbol val="none"/>
        </c:marker>
      </c:pivotFmt>
      <c:pivotFmt>
        <c:idx val="210"/>
        <c:marker>
          <c:symbol val="none"/>
        </c:marker>
      </c:pivotFmt>
      <c:pivotFmt>
        <c:idx val="211"/>
        <c:marker>
          <c:symbol val="none"/>
        </c:marker>
      </c:pivotFmt>
      <c:pivotFmt>
        <c:idx val="212"/>
        <c:marker>
          <c:symbol val="none"/>
        </c:marker>
      </c:pivotFmt>
      <c:pivotFmt>
        <c:idx val="213"/>
        <c:marker>
          <c:symbol val="none"/>
        </c:marker>
      </c:pivotFmt>
      <c:pivotFmt>
        <c:idx val="214"/>
        <c:marker>
          <c:symbol val="none"/>
        </c:marker>
      </c:pivotFmt>
      <c:pivotFmt>
        <c:idx val="215"/>
        <c:marker>
          <c:symbol val="none"/>
        </c:marker>
      </c:pivotFmt>
      <c:pivotFmt>
        <c:idx val="216"/>
        <c:marker>
          <c:symbol val="none"/>
        </c:marker>
      </c:pivotFmt>
      <c:pivotFmt>
        <c:idx val="217"/>
        <c:marker>
          <c:symbol val="none"/>
        </c:marker>
      </c:pivotFmt>
      <c:pivotFmt>
        <c:idx val="218"/>
        <c:marker>
          <c:symbol val="none"/>
        </c:marker>
      </c:pivotFmt>
      <c:pivotFmt>
        <c:idx val="219"/>
        <c:marker>
          <c:symbol val="none"/>
        </c:marker>
      </c:pivotFmt>
      <c:pivotFmt>
        <c:idx val="220"/>
        <c:marker>
          <c:symbol val="none"/>
        </c:marker>
      </c:pivotFmt>
      <c:pivotFmt>
        <c:idx val="221"/>
        <c:marker>
          <c:symbol val="none"/>
        </c:marker>
      </c:pivotFmt>
      <c:pivotFmt>
        <c:idx val="222"/>
        <c:marker>
          <c:symbol val="none"/>
        </c:marker>
      </c:pivotFmt>
      <c:pivotFmt>
        <c:idx val="223"/>
        <c:marker>
          <c:symbol val="none"/>
        </c:marker>
      </c:pivotFmt>
      <c:pivotFmt>
        <c:idx val="224"/>
        <c:marker>
          <c:symbol val="none"/>
        </c:marker>
      </c:pivotFmt>
      <c:pivotFmt>
        <c:idx val="225"/>
        <c:marker>
          <c:symbol val="none"/>
        </c:marker>
      </c:pivotFmt>
      <c:pivotFmt>
        <c:idx val="226"/>
        <c:marker>
          <c:symbol val="none"/>
        </c:marker>
      </c:pivotFmt>
      <c:pivotFmt>
        <c:idx val="227"/>
        <c:marker>
          <c:symbol val="none"/>
        </c:marker>
      </c:pivotFmt>
      <c:pivotFmt>
        <c:idx val="228"/>
        <c:marker>
          <c:symbol val="none"/>
        </c:marker>
      </c:pivotFmt>
      <c:pivotFmt>
        <c:idx val="229"/>
        <c:marker>
          <c:symbol val="none"/>
        </c:marker>
      </c:pivotFmt>
      <c:pivotFmt>
        <c:idx val="230"/>
        <c:marker>
          <c:symbol val="none"/>
        </c:marker>
      </c:pivotFmt>
      <c:pivotFmt>
        <c:idx val="231"/>
        <c:marker>
          <c:symbol val="none"/>
        </c:marker>
      </c:pivotFmt>
      <c:pivotFmt>
        <c:idx val="232"/>
        <c:marker>
          <c:symbol val="none"/>
        </c:marker>
      </c:pivotFmt>
      <c:pivotFmt>
        <c:idx val="233"/>
        <c:marker>
          <c:symbol val="none"/>
        </c:marker>
      </c:pivotFmt>
      <c:pivotFmt>
        <c:idx val="234"/>
        <c:marker>
          <c:symbol val="none"/>
        </c:marker>
      </c:pivotFmt>
      <c:pivotFmt>
        <c:idx val="235"/>
        <c:marker>
          <c:symbol val="none"/>
        </c:marker>
      </c:pivotFmt>
      <c:pivotFmt>
        <c:idx val="236"/>
        <c:marker>
          <c:symbol val="none"/>
        </c:marker>
      </c:pivotFmt>
      <c:pivotFmt>
        <c:idx val="237"/>
        <c:marker>
          <c:symbol val="none"/>
        </c:marker>
      </c:pivotFmt>
      <c:pivotFmt>
        <c:idx val="238"/>
        <c:marker>
          <c:symbol val="none"/>
        </c:marker>
      </c:pivotFmt>
      <c:pivotFmt>
        <c:idx val="239"/>
        <c:marker>
          <c:symbol val="none"/>
        </c:marker>
      </c:pivotFmt>
      <c:pivotFmt>
        <c:idx val="240"/>
        <c:marker>
          <c:symbol val="none"/>
        </c:marker>
      </c:pivotFmt>
      <c:pivotFmt>
        <c:idx val="241"/>
        <c:marker>
          <c:symbol val="none"/>
        </c:marker>
      </c:pivotFmt>
      <c:pivotFmt>
        <c:idx val="242"/>
        <c:marker>
          <c:symbol val="none"/>
        </c:marker>
      </c:pivotFmt>
      <c:pivotFmt>
        <c:idx val="243"/>
        <c:marker>
          <c:symbol val="none"/>
        </c:marker>
      </c:pivotFmt>
      <c:pivotFmt>
        <c:idx val="244"/>
        <c:marker>
          <c:symbol val="none"/>
        </c:marker>
      </c:pivotFmt>
      <c:pivotFmt>
        <c:idx val="245"/>
        <c:marker>
          <c:symbol val="none"/>
        </c:marker>
      </c:pivotFmt>
      <c:pivotFmt>
        <c:idx val="246"/>
        <c:marker>
          <c:symbol val="none"/>
        </c:marker>
      </c:pivotFmt>
      <c:pivotFmt>
        <c:idx val="247"/>
        <c:marker>
          <c:symbol val="none"/>
        </c:marker>
      </c:pivotFmt>
      <c:pivotFmt>
        <c:idx val="248"/>
        <c:marker>
          <c:symbol val="none"/>
        </c:marker>
      </c:pivotFmt>
      <c:pivotFmt>
        <c:idx val="249"/>
        <c:marker>
          <c:symbol val="none"/>
        </c:marker>
      </c:pivotFmt>
      <c:pivotFmt>
        <c:idx val="250"/>
        <c:marker>
          <c:symbol val="none"/>
        </c:marker>
      </c:pivotFmt>
      <c:pivotFmt>
        <c:idx val="251"/>
        <c:marker>
          <c:symbol val="none"/>
        </c:marker>
      </c:pivotFmt>
      <c:pivotFmt>
        <c:idx val="252"/>
        <c:marker>
          <c:symbol val="none"/>
        </c:marker>
      </c:pivotFmt>
      <c:pivotFmt>
        <c:idx val="253"/>
        <c:marker>
          <c:symbol val="none"/>
        </c:marker>
      </c:pivotFmt>
      <c:pivotFmt>
        <c:idx val="254"/>
        <c:marker>
          <c:symbol val="none"/>
        </c:marker>
      </c:pivotFmt>
      <c:pivotFmt>
        <c:idx val="255"/>
        <c:marker>
          <c:symbol val="none"/>
        </c:marker>
      </c:pivotFmt>
      <c:pivotFmt>
        <c:idx val="256"/>
        <c:marker>
          <c:symbol val="none"/>
        </c:marker>
      </c:pivotFmt>
      <c:pivotFmt>
        <c:idx val="257"/>
        <c:marker>
          <c:symbol val="none"/>
        </c:marker>
      </c:pivotFmt>
      <c:pivotFmt>
        <c:idx val="258"/>
        <c:marker>
          <c:symbol val="none"/>
        </c:marker>
      </c:pivotFmt>
      <c:pivotFmt>
        <c:idx val="259"/>
        <c:marker>
          <c:symbol val="none"/>
        </c:marker>
      </c:pivotFmt>
      <c:pivotFmt>
        <c:idx val="260"/>
        <c:marker>
          <c:symbol val="none"/>
        </c:marker>
      </c:pivotFmt>
      <c:pivotFmt>
        <c:idx val="261"/>
        <c:marker>
          <c:symbol val="none"/>
        </c:marker>
      </c:pivotFmt>
      <c:pivotFmt>
        <c:idx val="262"/>
        <c:marker>
          <c:symbol val="none"/>
        </c:marker>
      </c:pivotFmt>
      <c:pivotFmt>
        <c:idx val="263"/>
        <c:marker>
          <c:symbol val="none"/>
        </c:marker>
      </c:pivotFmt>
      <c:pivotFmt>
        <c:idx val="264"/>
        <c:marker>
          <c:symbol val="none"/>
        </c:marker>
      </c:pivotFmt>
      <c:pivotFmt>
        <c:idx val="265"/>
        <c:marker>
          <c:symbol val="none"/>
        </c:marker>
      </c:pivotFmt>
      <c:pivotFmt>
        <c:idx val="266"/>
        <c:marker>
          <c:symbol val="none"/>
        </c:marker>
      </c:pivotFmt>
      <c:pivotFmt>
        <c:idx val="267"/>
        <c:marker>
          <c:symbol val="none"/>
        </c:marker>
      </c:pivotFmt>
      <c:pivotFmt>
        <c:idx val="268"/>
        <c:marker>
          <c:symbol val="none"/>
        </c:marker>
      </c:pivotFmt>
      <c:pivotFmt>
        <c:idx val="269"/>
        <c:marker>
          <c:symbol val="none"/>
        </c:marker>
      </c:pivotFmt>
      <c:pivotFmt>
        <c:idx val="270"/>
        <c:marker>
          <c:symbol val="none"/>
        </c:marker>
      </c:pivotFmt>
      <c:pivotFmt>
        <c:idx val="271"/>
        <c:marker>
          <c:symbol val="none"/>
        </c:marker>
      </c:pivotFmt>
      <c:pivotFmt>
        <c:idx val="272"/>
        <c:marker>
          <c:symbol val="none"/>
        </c:marker>
      </c:pivotFmt>
      <c:pivotFmt>
        <c:idx val="273"/>
        <c:marker>
          <c:symbol val="none"/>
        </c:marker>
      </c:pivotFmt>
      <c:pivotFmt>
        <c:idx val="274"/>
        <c:marker>
          <c:symbol val="none"/>
        </c:marker>
      </c:pivotFmt>
      <c:pivotFmt>
        <c:idx val="275"/>
        <c:marker>
          <c:symbol val="none"/>
        </c:marker>
      </c:pivotFmt>
      <c:pivotFmt>
        <c:idx val="276"/>
        <c:marker>
          <c:symbol val="none"/>
        </c:marker>
      </c:pivotFmt>
      <c:pivotFmt>
        <c:idx val="277"/>
        <c:marker>
          <c:symbol val="none"/>
        </c:marker>
      </c:pivotFmt>
      <c:pivotFmt>
        <c:idx val="278"/>
        <c:marker>
          <c:symbol val="none"/>
        </c:marker>
      </c:pivotFmt>
      <c:pivotFmt>
        <c:idx val="279"/>
        <c:marker>
          <c:symbol val="none"/>
        </c:marker>
      </c:pivotFmt>
      <c:pivotFmt>
        <c:idx val="280"/>
        <c:marker>
          <c:symbol val="none"/>
        </c:marker>
      </c:pivotFmt>
      <c:pivotFmt>
        <c:idx val="281"/>
        <c:marker>
          <c:symbol val="none"/>
        </c:marker>
      </c:pivotFmt>
      <c:pivotFmt>
        <c:idx val="282"/>
        <c:marker>
          <c:symbol val="none"/>
        </c:marker>
      </c:pivotFmt>
      <c:pivotFmt>
        <c:idx val="283"/>
        <c:marker>
          <c:symbol val="none"/>
        </c:marker>
      </c:pivotFmt>
      <c:pivotFmt>
        <c:idx val="284"/>
        <c:marker>
          <c:symbol val="none"/>
        </c:marker>
      </c:pivotFmt>
      <c:pivotFmt>
        <c:idx val="285"/>
        <c:marker>
          <c:symbol val="none"/>
        </c:marker>
      </c:pivotFmt>
      <c:pivotFmt>
        <c:idx val="286"/>
        <c:marker>
          <c:symbol val="none"/>
        </c:marker>
      </c:pivotFmt>
      <c:pivotFmt>
        <c:idx val="287"/>
        <c:marker>
          <c:symbol val="none"/>
        </c:marker>
      </c:pivotFmt>
      <c:pivotFmt>
        <c:idx val="288"/>
        <c:marker>
          <c:symbol val="none"/>
        </c:marker>
      </c:pivotFmt>
      <c:pivotFmt>
        <c:idx val="289"/>
        <c:marker>
          <c:symbol val="none"/>
        </c:marker>
      </c:pivotFmt>
      <c:pivotFmt>
        <c:idx val="290"/>
        <c:marker>
          <c:symbol val="none"/>
        </c:marker>
      </c:pivotFmt>
      <c:pivotFmt>
        <c:idx val="291"/>
        <c:marker>
          <c:symbol val="none"/>
        </c:marker>
      </c:pivotFmt>
      <c:pivotFmt>
        <c:idx val="292"/>
        <c:marker>
          <c:symbol val="none"/>
        </c:marker>
      </c:pivotFmt>
      <c:pivotFmt>
        <c:idx val="293"/>
        <c:marker>
          <c:symbol val="none"/>
        </c:marker>
      </c:pivotFmt>
      <c:pivotFmt>
        <c:idx val="294"/>
        <c:marker>
          <c:symbol val="none"/>
        </c:marker>
      </c:pivotFmt>
      <c:pivotFmt>
        <c:idx val="295"/>
        <c:marker>
          <c:symbol val="none"/>
        </c:marker>
      </c:pivotFmt>
      <c:pivotFmt>
        <c:idx val="296"/>
        <c:marker>
          <c:symbol val="none"/>
        </c:marker>
      </c:pivotFmt>
      <c:pivotFmt>
        <c:idx val="297"/>
        <c:marker>
          <c:symbol val="none"/>
        </c:marker>
      </c:pivotFmt>
      <c:pivotFmt>
        <c:idx val="298"/>
        <c:marker>
          <c:symbol val="none"/>
        </c:marker>
      </c:pivotFmt>
      <c:pivotFmt>
        <c:idx val="299"/>
        <c:marker>
          <c:symbol val="none"/>
        </c:marker>
      </c:pivotFmt>
      <c:pivotFmt>
        <c:idx val="300"/>
        <c:marker>
          <c:symbol val="none"/>
        </c:marker>
      </c:pivotFmt>
      <c:pivotFmt>
        <c:idx val="301"/>
        <c:marker>
          <c:symbol val="none"/>
        </c:marker>
      </c:pivotFmt>
      <c:pivotFmt>
        <c:idx val="302"/>
        <c:marker>
          <c:symbol val="none"/>
        </c:marker>
      </c:pivotFmt>
      <c:pivotFmt>
        <c:idx val="303"/>
        <c:marker>
          <c:symbol val="none"/>
        </c:marker>
      </c:pivotFmt>
      <c:pivotFmt>
        <c:idx val="304"/>
        <c:marker>
          <c:symbol val="none"/>
        </c:marker>
      </c:pivotFmt>
      <c:pivotFmt>
        <c:idx val="305"/>
        <c:marker>
          <c:symbol val="none"/>
        </c:marker>
      </c:pivotFmt>
      <c:pivotFmt>
        <c:idx val="306"/>
        <c:marker>
          <c:symbol val="none"/>
        </c:marker>
      </c:pivotFmt>
      <c:pivotFmt>
        <c:idx val="307"/>
        <c:marker>
          <c:symbol val="none"/>
        </c:marker>
      </c:pivotFmt>
      <c:pivotFmt>
        <c:idx val="308"/>
        <c:marker>
          <c:symbol val="none"/>
        </c:marker>
      </c:pivotFmt>
      <c:pivotFmt>
        <c:idx val="309"/>
        <c:marker>
          <c:symbol val="none"/>
        </c:marker>
      </c:pivotFmt>
      <c:pivotFmt>
        <c:idx val="310"/>
        <c:marker>
          <c:symbol val="none"/>
        </c:marker>
      </c:pivotFmt>
      <c:pivotFmt>
        <c:idx val="311"/>
        <c:marker>
          <c:symbol val="none"/>
        </c:marker>
      </c:pivotFmt>
      <c:pivotFmt>
        <c:idx val="312"/>
        <c:marker>
          <c:symbol val="none"/>
        </c:marker>
      </c:pivotFmt>
      <c:pivotFmt>
        <c:idx val="313"/>
        <c:marker>
          <c:symbol val="none"/>
        </c:marker>
      </c:pivotFmt>
      <c:pivotFmt>
        <c:idx val="314"/>
        <c:marker>
          <c:symbol val="none"/>
        </c:marker>
      </c:pivotFmt>
      <c:pivotFmt>
        <c:idx val="315"/>
        <c:marker>
          <c:symbol val="none"/>
        </c:marker>
      </c:pivotFmt>
      <c:pivotFmt>
        <c:idx val="316"/>
        <c:marker>
          <c:symbol val="none"/>
        </c:marker>
      </c:pivotFmt>
      <c:pivotFmt>
        <c:idx val="317"/>
        <c:marker>
          <c:symbol val="none"/>
        </c:marker>
      </c:pivotFmt>
      <c:pivotFmt>
        <c:idx val="318"/>
        <c:marker>
          <c:symbol val="none"/>
        </c:marker>
      </c:pivotFmt>
      <c:pivotFmt>
        <c:idx val="319"/>
        <c:marker>
          <c:symbol val="none"/>
        </c:marker>
      </c:pivotFmt>
      <c:pivotFmt>
        <c:idx val="320"/>
        <c:marker>
          <c:symbol val="none"/>
        </c:marker>
      </c:pivotFmt>
      <c:pivotFmt>
        <c:idx val="321"/>
        <c:marker>
          <c:symbol val="none"/>
        </c:marker>
      </c:pivotFmt>
      <c:pivotFmt>
        <c:idx val="322"/>
        <c:marker>
          <c:symbol val="none"/>
        </c:marker>
      </c:pivotFmt>
      <c:pivotFmt>
        <c:idx val="323"/>
        <c:marker>
          <c:symbol val="none"/>
        </c:marker>
      </c:pivotFmt>
      <c:pivotFmt>
        <c:idx val="324"/>
        <c:marker>
          <c:symbol val="none"/>
        </c:marker>
      </c:pivotFmt>
      <c:pivotFmt>
        <c:idx val="325"/>
        <c:marker>
          <c:symbol val="none"/>
        </c:marker>
      </c:pivotFmt>
      <c:pivotFmt>
        <c:idx val="326"/>
        <c:marker>
          <c:symbol val="none"/>
        </c:marker>
      </c:pivotFmt>
      <c:pivotFmt>
        <c:idx val="327"/>
        <c:marker>
          <c:symbol val="none"/>
        </c:marker>
      </c:pivotFmt>
      <c:pivotFmt>
        <c:idx val="328"/>
        <c:marker>
          <c:symbol val="none"/>
        </c:marker>
      </c:pivotFmt>
      <c:pivotFmt>
        <c:idx val="329"/>
        <c:marker>
          <c:symbol val="none"/>
        </c:marker>
      </c:pivotFmt>
      <c:pivotFmt>
        <c:idx val="330"/>
        <c:marker>
          <c:symbol val="none"/>
        </c:marker>
      </c:pivotFmt>
      <c:pivotFmt>
        <c:idx val="331"/>
        <c:marker>
          <c:symbol val="none"/>
        </c:marker>
      </c:pivotFmt>
      <c:pivotFmt>
        <c:idx val="332"/>
        <c:marker>
          <c:symbol val="none"/>
        </c:marker>
      </c:pivotFmt>
      <c:pivotFmt>
        <c:idx val="333"/>
        <c:marker>
          <c:symbol val="none"/>
        </c:marker>
      </c:pivotFmt>
      <c:pivotFmt>
        <c:idx val="334"/>
        <c:marker>
          <c:symbol val="none"/>
        </c:marker>
      </c:pivotFmt>
      <c:pivotFmt>
        <c:idx val="335"/>
        <c:marker>
          <c:symbol val="none"/>
        </c:marker>
      </c:pivotFmt>
      <c:pivotFmt>
        <c:idx val="336"/>
        <c:marker>
          <c:symbol val="none"/>
        </c:marker>
      </c:pivotFmt>
      <c:pivotFmt>
        <c:idx val="337"/>
        <c:marker>
          <c:symbol val="none"/>
        </c:marker>
      </c:pivotFmt>
      <c:pivotFmt>
        <c:idx val="338"/>
        <c:marker>
          <c:symbol val="none"/>
        </c:marker>
      </c:pivotFmt>
      <c:pivotFmt>
        <c:idx val="339"/>
        <c:marker>
          <c:symbol val="none"/>
        </c:marker>
      </c:pivotFmt>
      <c:pivotFmt>
        <c:idx val="340"/>
        <c:marker>
          <c:symbol val="none"/>
        </c:marker>
      </c:pivotFmt>
      <c:pivotFmt>
        <c:idx val="341"/>
        <c:marker>
          <c:symbol val="none"/>
        </c:marker>
      </c:pivotFmt>
      <c:pivotFmt>
        <c:idx val="342"/>
        <c:marker>
          <c:symbol val="none"/>
        </c:marker>
      </c:pivotFmt>
      <c:pivotFmt>
        <c:idx val="343"/>
        <c:marker>
          <c:symbol val="none"/>
        </c:marker>
      </c:pivotFmt>
      <c:pivotFmt>
        <c:idx val="344"/>
        <c:marker>
          <c:symbol val="none"/>
        </c:marker>
      </c:pivotFmt>
      <c:pivotFmt>
        <c:idx val="345"/>
        <c:marker>
          <c:symbol val="none"/>
        </c:marker>
      </c:pivotFmt>
      <c:pivotFmt>
        <c:idx val="346"/>
        <c:marker>
          <c:symbol val="none"/>
        </c:marker>
      </c:pivotFmt>
      <c:pivotFmt>
        <c:idx val="347"/>
        <c:marker>
          <c:symbol val="none"/>
        </c:marker>
      </c:pivotFmt>
      <c:pivotFmt>
        <c:idx val="348"/>
        <c:marker>
          <c:symbol val="none"/>
        </c:marker>
      </c:pivotFmt>
      <c:pivotFmt>
        <c:idx val="349"/>
        <c:marker>
          <c:symbol val="none"/>
        </c:marker>
      </c:pivotFmt>
      <c:pivotFmt>
        <c:idx val="350"/>
        <c:marker>
          <c:symbol val="none"/>
        </c:marker>
      </c:pivotFmt>
      <c:pivotFmt>
        <c:idx val="351"/>
        <c:marker>
          <c:symbol val="none"/>
        </c:marker>
      </c:pivotFmt>
      <c:pivotFmt>
        <c:idx val="352"/>
        <c:marker>
          <c:symbol val="none"/>
        </c:marker>
      </c:pivotFmt>
      <c:pivotFmt>
        <c:idx val="353"/>
        <c:marker>
          <c:symbol val="none"/>
        </c:marker>
      </c:pivotFmt>
      <c:pivotFmt>
        <c:idx val="354"/>
        <c:marker>
          <c:symbol val="none"/>
        </c:marker>
      </c:pivotFmt>
      <c:pivotFmt>
        <c:idx val="355"/>
        <c:marker>
          <c:symbol val="none"/>
        </c:marker>
      </c:pivotFmt>
      <c:pivotFmt>
        <c:idx val="356"/>
        <c:marker>
          <c:symbol val="none"/>
        </c:marker>
      </c:pivotFmt>
      <c:pivotFmt>
        <c:idx val="357"/>
        <c:marker>
          <c:symbol val="none"/>
        </c:marker>
      </c:pivotFmt>
      <c:pivotFmt>
        <c:idx val="358"/>
        <c:marker>
          <c:symbol val="none"/>
        </c:marker>
      </c:pivotFmt>
      <c:pivotFmt>
        <c:idx val="359"/>
        <c:marker>
          <c:symbol val="none"/>
        </c:marker>
      </c:pivotFmt>
      <c:pivotFmt>
        <c:idx val="360"/>
        <c:marker>
          <c:symbol val="none"/>
        </c:marker>
      </c:pivotFmt>
      <c:pivotFmt>
        <c:idx val="361"/>
        <c:marker>
          <c:symbol val="none"/>
        </c:marker>
      </c:pivotFmt>
      <c:pivotFmt>
        <c:idx val="362"/>
        <c:marker>
          <c:symbol val="none"/>
        </c:marker>
      </c:pivotFmt>
      <c:pivotFmt>
        <c:idx val="363"/>
        <c:marker>
          <c:symbol val="none"/>
        </c:marker>
      </c:pivotFmt>
      <c:pivotFmt>
        <c:idx val="364"/>
        <c:marker>
          <c:symbol val="none"/>
        </c:marker>
      </c:pivotFmt>
      <c:pivotFmt>
        <c:idx val="365"/>
        <c:marker>
          <c:symbol val="none"/>
        </c:marker>
      </c:pivotFmt>
      <c:pivotFmt>
        <c:idx val="366"/>
        <c:marker>
          <c:symbol val="none"/>
        </c:marker>
      </c:pivotFmt>
      <c:pivotFmt>
        <c:idx val="367"/>
        <c:marker>
          <c:symbol val="none"/>
        </c:marker>
      </c:pivotFmt>
      <c:pivotFmt>
        <c:idx val="368"/>
        <c:marker>
          <c:symbol val="none"/>
        </c:marker>
      </c:pivotFmt>
      <c:pivotFmt>
        <c:idx val="369"/>
        <c:marker>
          <c:symbol val="none"/>
        </c:marker>
      </c:pivotFmt>
      <c:pivotFmt>
        <c:idx val="370"/>
        <c:marker>
          <c:symbol val="none"/>
        </c:marker>
      </c:pivotFmt>
      <c:pivotFmt>
        <c:idx val="371"/>
        <c:marker>
          <c:symbol val="none"/>
        </c:marker>
      </c:pivotFmt>
      <c:pivotFmt>
        <c:idx val="372"/>
        <c:marker>
          <c:symbol val="none"/>
        </c:marker>
      </c:pivotFmt>
      <c:pivotFmt>
        <c:idx val="373"/>
        <c:marker>
          <c:symbol val="none"/>
        </c:marker>
      </c:pivotFmt>
      <c:pivotFmt>
        <c:idx val="374"/>
        <c:marker>
          <c:symbol val="none"/>
        </c:marker>
      </c:pivotFmt>
      <c:pivotFmt>
        <c:idx val="375"/>
        <c:marker>
          <c:symbol val="none"/>
        </c:marker>
      </c:pivotFmt>
      <c:pivotFmt>
        <c:idx val="376"/>
        <c:marker>
          <c:symbol val="none"/>
        </c:marker>
      </c:pivotFmt>
      <c:pivotFmt>
        <c:idx val="377"/>
        <c:marker>
          <c:symbol val="none"/>
        </c:marker>
      </c:pivotFmt>
      <c:pivotFmt>
        <c:idx val="378"/>
        <c:marker>
          <c:symbol val="none"/>
        </c:marker>
      </c:pivotFmt>
      <c:pivotFmt>
        <c:idx val="379"/>
        <c:marker>
          <c:symbol val="none"/>
        </c:marker>
      </c:pivotFmt>
      <c:pivotFmt>
        <c:idx val="380"/>
        <c:marker>
          <c:symbol val="none"/>
        </c:marker>
      </c:pivotFmt>
      <c:pivotFmt>
        <c:idx val="381"/>
        <c:marker>
          <c:symbol val="none"/>
        </c:marker>
      </c:pivotFmt>
      <c:pivotFmt>
        <c:idx val="382"/>
        <c:marker>
          <c:symbol val="none"/>
        </c:marker>
      </c:pivotFmt>
      <c:pivotFmt>
        <c:idx val="383"/>
        <c:marker>
          <c:symbol val="none"/>
        </c:marker>
      </c:pivotFmt>
      <c:pivotFmt>
        <c:idx val="384"/>
        <c:marker>
          <c:symbol val="none"/>
        </c:marker>
      </c:pivotFmt>
      <c:pivotFmt>
        <c:idx val="385"/>
        <c:marker>
          <c:symbol val="none"/>
        </c:marker>
      </c:pivotFmt>
      <c:pivotFmt>
        <c:idx val="386"/>
        <c:marker>
          <c:symbol val="none"/>
        </c:marker>
      </c:pivotFmt>
      <c:pivotFmt>
        <c:idx val="387"/>
        <c:marker>
          <c:symbol val="none"/>
        </c:marker>
      </c:pivotFmt>
      <c:pivotFmt>
        <c:idx val="388"/>
        <c:marker>
          <c:symbol val="none"/>
        </c:marker>
      </c:pivotFmt>
      <c:pivotFmt>
        <c:idx val="389"/>
        <c:marker>
          <c:symbol val="none"/>
        </c:marker>
      </c:pivotFmt>
      <c:pivotFmt>
        <c:idx val="390"/>
        <c:marker>
          <c:symbol val="none"/>
        </c:marker>
      </c:pivotFmt>
      <c:pivotFmt>
        <c:idx val="391"/>
        <c:marker>
          <c:symbol val="none"/>
        </c:marker>
      </c:pivotFmt>
      <c:pivotFmt>
        <c:idx val="392"/>
        <c:marker>
          <c:symbol val="none"/>
        </c:marker>
      </c:pivotFmt>
      <c:pivotFmt>
        <c:idx val="393"/>
        <c:marker>
          <c:symbol val="none"/>
        </c:marker>
      </c:pivotFmt>
      <c:pivotFmt>
        <c:idx val="394"/>
        <c:marker>
          <c:symbol val="none"/>
        </c:marker>
      </c:pivotFmt>
      <c:pivotFmt>
        <c:idx val="395"/>
        <c:marker>
          <c:symbol val="none"/>
        </c:marker>
      </c:pivotFmt>
      <c:pivotFmt>
        <c:idx val="396"/>
        <c:marker>
          <c:symbol val="none"/>
        </c:marker>
      </c:pivotFmt>
      <c:pivotFmt>
        <c:idx val="397"/>
        <c:marker>
          <c:symbol val="none"/>
        </c:marker>
      </c:pivotFmt>
      <c:pivotFmt>
        <c:idx val="398"/>
        <c:marker>
          <c:symbol val="none"/>
        </c:marker>
      </c:pivotFmt>
      <c:pivotFmt>
        <c:idx val="399"/>
        <c:marker>
          <c:symbol val="none"/>
        </c:marker>
      </c:pivotFmt>
      <c:pivotFmt>
        <c:idx val="400"/>
        <c:marker>
          <c:symbol val="none"/>
        </c:marker>
      </c:pivotFmt>
      <c:pivotFmt>
        <c:idx val="401"/>
        <c:marker>
          <c:symbol val="none"/>
        </c:marker>
      </c:pivotFmt>
      <c:pivotFmt>
        <c:idx val="402"/>
        <c:marker>
          <c:symbol val="none"/>
        </c:marker>
      </c:pivotFmt>
      <c:pivotFmt>
        <c:idx val="403"/>
        <c:marker>
          <c:symbol val="none"/>
        </c:marker>
      </c:pivotFmt>
      <c:pivotFmt>
        <c:idx val="404"/>
        <c:marker>
          <c:symbol val="none"/>
        </c:marker>
      </c:pivotFmt>
      <c:pivotFmt>
        <c:idx val="405"/>
        <c:marker>
          <c:symbol val="none"/>
        </c:marker>
      </c:pivotFmt>
      <c:pivotFmt>
        <c:idx val="406"/>
        <c:marker>
          <c:symbol val="none"/>
        </c:marker>
      </c:pivotFmt>
      <c:pivotFmt>
        <c:idx val="407"/>
        <c:marker>
          <c:symbol val="none"/>
        </c:marker>
      </c:pivotFmt>
      <c:pivotFmt>
        <c:idx val="408"/>
        <c:marker>
          <c:symbol val="none"/>
        </c:marker>
      </c:pivotFmt>
      <c:pivotFmt>
        <c:idx val="409"/>
        <c:marker>
          <c:symbol val="none"/>
        </c:marker>
      </c:pivotFmt>
      <c:pivotFmt>
        <c:idx val="410"/>
        <c:marker>
          <c:symbol val="none"/>
        </c:marker>
      </c:pivotFmt>
      <c:pivotFmt>
        <c:idx val="411"/>
        <c:marker>
          <c:symbol val="none"/>
        </c:marker>
      </c:pivotFmt>
      <c:pivotFmt>
        <c:idx val="412"/>
        <c:marker>
          <c:symbol val="none"/>
        </c:marker>
      </c:pivotFmt>
      <c:pivotFmt>
        <c:idx val="413"/>
        <c:marker>
          <c:symbol val="none"/>
        </c:marker>
      </c:pivotFmt>
      <c:pivotFmt>
        <c:idx val="414"/>
        <c:marker>
          <c:symbol val="none"/>
        </c:marker>
      </c:pivotFmt>
      <c:pivotFmt>
        <c:idx val="415"/>
        <c:marker>
          <c:symbol val="none"/>
        </c:marker>
      </c:pivotFmt>
      <c:pivotFmt>
        <c:idx val="416"/>
        <c:marker>
          <c:symbol val="none"/>
        </c:marker>
      </c:pivotFmt>
      <c:pivotFmt>
        <c:idx val="417"/>
        <c:marker>
          <c:symbol val="none"/>
        </c:marker>
      </c:pivotFmt>
      <c:pivotFmt>
        <c:idx val="418"/>
        <c:marker>
          <c:symbol val="none"/>
        </c:marker>
      </c:pivotFmt>
      <c:pivotFmt>
        <c:idx val="419"/>
        <c:marker>
          <c:symbol val="none"/>
        </c:marker>
      </c:pivotFmt>
      <c:pivotFmt>
        <c:idx val="420"/>
        <c:marker>
          <c:symbol val="none"/>
        </c:marker>
      </c:pivotFmt>
      <c:pivotFmt>
        <c:idx val="421"/>
        <c:marker>
          <c:symbol val="none"/>
        </c:marker>
      </c:pivotFmt>
      <c:pivotFmt>
        <c:idx val="422"/>
        <c:marker>
          <c:symbol val="none"/>
        </c:marker>
      </c:pivotFmt>
      <c:pivotFmt>
        <c:idx val="423"/>
        <c:marker>
          <c:symbol val="none"/>
        </c:marker>
      </c:pivotFmt>
      <c:pivotFmt>
        <c:idx val="424"/>
        <c:marker>
          <c:symbol val="none"/>
        </c:marker>
      </c:pivotFmt>
      <c:pivotFmt>
        <c:idx val="425"/>
        <c:marker>
          <c:symbol val="none"/>
        </c:marker>
      </c:pivotFmt>
      <c:pivotFmt>
        <c:idx val="426"/>
        <c:marker>
          <c:symbol val="none"/>
        </c:marker>
      </c:pivotFmt>
      <c:pivotFmt>
        <c:idx val="427"/>
        <c:marker>
          <c:symbol val="none"/>
        </c:marker>
      </c:pivotFmt>
      <c:pivotFmt>
        <c:idx val="428"/>
        <c:marker>
          <c:symbol val="none"/>
        </c:marker>
      </c:pivotFmt>
      <c:pivotFmt>
        <c:idx val="429"/>
        <c:marker>
          <c:symbol val="none"/>
        </c:marker>
      </c:pivotFmt>
      <c:pivotFmt>
        <c:idx val="430"/>
        <c:marker>
          <c:symbol val="none"/>
        </c:marker>
      </c:pivotFmt>
      <c:pivotFmt>
        <c:idx val="431"/>
        <c:marker>
          <c:symbol val="none"/>
        </c:marker>
      </c:pivotFmt>
      <c:pivotFmt>
        <c:idx val="432"/>
        <c:marker>
          <c:symbol val="none"/>
        </c:marker>
      </c:pivotFmt>
      <c:pivotFmt>
        <c:idx val="433"/>
        <c:marker>
          <c:symbol val="none"/>
        </c:marker>
      </c:pivotFmt>
      <c:pivotFmt>
        <c:idx val="434"/>
        <c:marker>
          <c:symbol val="none"/>
        </c:marker>
      </c:pivotFmt>
      <c:pivotFmt>
        <c:idx val="435"/>
        <c:marker>
          <c:symbol val="none"/>
        </c:marker>
      </c:pivotFmt>
      <c:pivotFmt>
        <c:idx val="436"/>
        <c:marker>
          <c:symbol val="none"/>
        </c:marker>
      </c:pivotFmt>
      <c:pivotFmt>
        <c:idx val="437"/>
        <c:marker>
          <c:symbol val="none"/>
        </c:marker>
      </c:pivotFmt>
      <c:pivotFmt>
        <c:idx val="438"/>
        <c:marker>
          <c:symbol val="none"/>
        </c:marker>
      </c:pivotFmt>
      <c:pivotFmt>
        <c:idx val="439"/>
        <c:marker>
          <c:symbol val="none"/>
        </c:marker>
      </c:pivotFmt>
      <c:pivotFmt>
        <c:idx val="440"/>
        <c:marker>
          <c:symbol val="none"/>
        </c:marker>
      </c:pivotFmt>
      <c:pivotFmt>
        <c:idx val="441"/>
        <c:marker>
          <c:symbol val="none"/>
        </c:marker>
      </c:pivotFmt>
      <c:pivotFmt>
        <c:idx val="442"/>
        <c:marker>
          <c:symbol val="none"/>
        </c:marker>
      </c:pivotFmt>
      <c:pivotFmt>
        <c:idx val="443"/>
        <c:marker>
          <c:symbol val="none"/>
        </c:marker>
      </c:pivotFmt>
      <c:pivotFmt>
        <c:idx val="444"/>
        <c:marker>
          <c:symbol val="none"/>
        </c:marker>
      </c:pivotFmt>
      <c:pivotFmt>
        <c:idx val="445"/>
        <c:marker>
          <c:symbol val="none"/>
        </c:marker>
      </c:pivotFmt>
      <c:pivotFmt>
        <c:idx val="446"/>
        <c:marker>
          <c:symbol val="none"/>
        </c:marker>
      </c:pivotFmt>
      <c:pivotFmt>
        <c:idx val="447"/>
        <c:marker>
          <c:symbol val="none"/>
        </c:marker>
      </c:pivotFmt>
      <c:pivotFmt>
        <c:idx val="448"/>
        <c:marker>
          <c:symbol val="none"/>
        </c:marker>
      </c:pivotFmt>
      <c:pivotFmt>
        <c:idx val="449"/>
        <c:marker>
          <c:symbol val="none"/>
        </c:marker>
      </c:pivotFmt>
      <c:pivotFmt>
        <c:idx val="450"/>
        <c:marker>
          <c:symbol val="none"/>
        </c:marker>
      </c:pivotFmt>
      <c:pivotFmt>
        <c:idx val="451"/>
        <c:marker>
          <c:symbol val="none"/>
        </c:marker>
      </c:pivotFmt>
      <c:pivotFmt>
        <c:idx val="452"/>
        <c:marker>
          <c:symbol val="none"/>
        </c:marker>
      </c:pivotFmt>
      <c:pivotFmt>
        <c:idx val="453"/>
        <c:marker>
          <c:symbol val="none"/>
        </c:marker>
      </c:pivotFmt>
      <c:pivotFmt>
        <c:idx val="454"/>
        <c:marker>
          <c:symbol val="none"/>
        </c:marker>
      </c:pivotFmt>
      <c:pivotFmt>
        <c:idx val="455"/>
        <c:marker>
          <c:symbol val="none"/>
        </c:marker>
      </c:pivotFmt>
      <c:pivotFmt>
        <c:idx val="456"/>
        <c:marker>
          <c:symbol val="none"/>
        </c:marker>
      </c:pivotFmt>
      <c:pivotFmt>
        <c:idx val="457"/>
        <c:marker>
          <c:symbol val="none"/>
        </c:marker>
      </c:pivotFmt>
      <c:pivotFmt>
        <c:idx val="458"/>
        <c:marker>
          <c:symbol val="none"/>
        </c:marker>
      </c:pivotFmt>
      <c:pivotFmt>
        <c:idx val="459"/>
        <c:marker>
          <c:symbol val="none"/>
        </c:marker>
      </c:pivotFmt>
      <c:pivotFmt>
        <c:idx val="460"/>
        <c:marker>
          <c:symbol val="none"/>
        </c:marker>
      </c:pivotFmt>
      <c:pivotFmt>
        <c:idx val="461"/>
        <c:marker>
          <c:symbol val="none"/>
        </c:marker>
      </c:pivotFmt>
      <c:pivotFmt>
        <c:idx val="462"/>
        <c:marker>
          <c:symbol val="none"/>
        </c:marker>
      </c:pivotFmt>
      <c:pivotFmt>
        <c:idx val="463"/>
        <c:marker>
          <c:symbol val="none"/>
        </c:marker>
      </c:pivotFmt>
      <c:pivotFmt>
        <c:idx val="464"/>
        <c:marker>
          <c:symbol val="none"/>
        </c:marker>
      </c:pivotFmt>
      <c:pivotFmt>
        <c:idx val="465"/>
        <c:marker>
          <c:symbol val="none"/>
        </c:marker>
      </c:pivotFmt>
      <c:pivotFmt>
        <c:idx val="466"/>
        <c:marker>
          <c:symbol val="none"/>
        </c:marker>
      </c:pivotFmt>
      <c:pivotFmt>
        <c:idx val="467"/>
        <c:marker>
          <c:symbol val="none"/>
        </c:marker>
      </c:pivotFmt>
      <c:pivotFmt>
        <c:idx val="468"/>
        <c:marker>
          <c:symbol val="none"/>
        </c:marker>
      </c:pivotFmt>
      <c:pivotFmt>
        <c:idx val="469"/>
        <c:marker>
          <c:symbol val="none"/>
        </c:marker>
      </c:pivotFmt>
      <c:pivotFmt>
        <c:idx val="470"/>
        <c:marker>
          <c:symbol val="none"/>
        </c:marker>
      </c:pivotFmt>
      <c:pivotFmt>
        <c:idx val="471"/>
        <c:marker>
          <c:symbol val="none"/>
        </c:marker>
      </c:pivotFmt>
      <c:pivotFmt>
        <c:idx val="472"/>
        <c:marker>
          <c:symbol val="none"/>
        </c:marker>
      </c:pivotFmt>
      <c:pivotFmt>
        <c:idx val="473"/>
        <c:marker>
          <c:symbol val="none"/>
        </c:marker>
      </c:pivotFmt>
      <c:pivotFmt>
        <c:idx val="474"/>
        <c:marker>
          <c:symbol val="none"/>
        </c:marker>
      </c:pivotFmt>
      <c:pivotFmt>
        <c:idx val="475"/>
        <c:marker>
          <c:symbol val="none"/>
        </c:marker>
      </c:pivotFmt>
      <c:pivotFmt>
        <c:idx val="476"/>
        <c:marker>
          <c:symbol val="none"/>
        </c:marker>
      </c:pivotFmt>
      <c:pivotFmt>
        <c:idx val="477"/>
        <c:marker>
          <c:symbol val="none"/>
        </c:marker>
      </c:pivotFmt>
      <c:pivotFmt>
        <c:idx val="478"/>
        <c:marker>
          <c:symbol val="none"/>
        </c:marker>
      </c:pivotFmt>
      <c:pivotFmt>
        <c:idx val="479"/>
        <c:marker>
          <c:symbol val="none"/>
        </c:marker>
      </c:pivotFmt>
      <c:pivotFmt>
        <c:idx val="480"/>
        <c:marker>
          <c:symbol val="none"/>
        </c:marker>
      </c:pivotFmt>
      <c:pivotFmt>
        <c:idx val="481"/>
        <c:marker>
          <c:symbol val="none"/>
        </c:marker>
      </c:pivotFmt>
      <c:pivotFmt>
        <c:idx val="482"/>
        <c:marker>
          <c:symbol val="none"/>
        </c:marker>
      </c:pivotFmt>
      <c:pivotFmt>
        <c:idx val="483"/>
        <c:marker>
          <c:symbol val="none"/>
        </c:marker>
      </c:pivotFmt>
      <c:pivotFmt>
        <c:idx val="484"/>
        <c:marker>
          <c:symbol val="none"/>
        </c:marker>
      </c:pivotFmt>
      <c:pivotFmt>
        <c:idx val="485"/>
        <c:marker>
          <c:symbol val="none"/>
        </c:marker>
      </c:pivotFmt>
      <c:pivotFmt>
        <c:idx val="486"/>
        <c:marker>
          <c:symbol val="none"/>
        </c:marker>
      </c:pivotFmt>
      <c:pivotFmt>
        <c:idx val="487"/>
        <c:marker>
          <c:symbol val="none"/>
        </c:marker>
      </c:pivotFmt>
      <c:pivotFmt>
        <c:idx val="488"/>
        <c:marker>
          <c:symbol val="none"/>
        </c:marker>
      </c:pivotFmt>
      <c:pivotFmt>
        <c:idx val="489"/>
        <c:marker>
          <c:symbol val="none"/>
        </c:marker>
      </c:pivotFmt>
      <c:pivotFmt>
        <c:idx val="490"/>
        <c:marker>
          <c:symbol val="none"/>
        </c:marker>
      </c:pivotFmt>
      <c:pivotFmt>
        <c:idx val="491"/>
        <c:marker>
          <c:symbol val="none"/>
        </c:marker>
      </c:pivotFmt>
      <c:pivotFmt>
        <c:idx val="492"/>
        <c:marker>
          <c:symbol val="none"/>
        </c:marker>
      </c:pivotFmt>
      <c:pivotFmt>
        <c:idx val="493"/>
        <c:marker>
          <c:symbol val="none"/>
        </c:marker>
      </c:pivotFmt>
      <c:pivotFmt>
        <c:idx val="494"/>
        <c:marker>
          <c:symbol val="none"/>
        </c:marker>
      </c:pivotFmt>
      <c:pivotFmt>
        <c:idx val="495"/>
        <c:marker>
          <c:symbol val="none"/>
        </c:marker>
      </c:pivotFmt>
      <c:pivotFmt>
        <c:idx val="496"/>
        <c:marker>
          <c:symbol val="none"/>
        </c:marker>
      </c:pivotFmt>
      <c:pivotFmt>
        <c:idx val="497"/>
        <c:marker>
          <c:symbol val="none"/>
        </c:marker>
      </c:pivotFmt>
      <c:pivotFmt>
        <c:idx val="498"/>
        <c:marker>
          <c:symbol val="none"/>
        </c:marker>
      </c:pivotFmt>
      <c:pivotFmt>
        <c:idx val="499"/>
        <c:marker>
          <c:symbol val="none"/>
        </c:marker>
      </c:pivotFmt>
      <c:pivotFmt>
        <c:idx val="500"/>
        <c:marker>
          <c:symbol val="none"/>
        </c:marker>
      </c:pivotFmt>
      <c:pivotFmt>
        <c:idx val="501"/>
        <c:marker>
          <c:symbol val="none"/>
        </c:marker>
      </c:pivotFmt>
      <c:pivotFmt>
        <c:idx val="502"/>
        <c:marker>
          <c:symbol val="none"/>
        </c:marker>
      </c:pivotFmt>
      <c:pivotFmt>
        <c:idx val="503"/>
        <c:marker>
          <c:symbol val="none"/>
        </c:marker>
      </c:pivotFmt>
      <c:pivotFmt>
        <c:idx val="504"/>
        <c:marker>
          <c:symbol val="none"/>
        </c:marker>
      </c:pivotFmt>
      <c:pivotFmt>
        <c:idx val="505"/>
        <c:marker>
          <c:symbol val="none"/>
        </c:marker>
      </c:pivotFmt>
      <c:pivotFmt>
        <c:idx val="506"/>
        <c:marker>
          <c:symbol val="none"/>
        </c:marker>
      </c:pivotFmt>
      <c:pivotFmt>
        <c:idx val="507"/>
        <c:marker>
          <c:symbol val="none"/>
        </c:marker>
      </c:pivotFmt>
      <c:pivotFmt>
        <c:idx val="508"/>
        <c:marker>
          <c:symbol val="none"/>
        </c:marker>
      </c:pivotFmt>
      <c:pivotFmt>
        <c:idx val="509"/>
        <c:marker>
          <c:symbol val="none"/>
        </c:marker>
      </c:pivotFmt>
      <c:pivotFmt>
        <c:idx val="510"/>
        <c:marker>
          <c:symbol val="none"/>
        </c:marker>
      </c:pivotFmt>
      <c:pivotFmt>
        <c:idx val="511"/>
        <c:marker>
          <c:symbol val="none"/>
        </c:marker>
      </c:pivotFmt>
      <c:pivotFmt>
        <c:idx val="512"/>
        <c:marker>
          <c:symbol val="none"/>
        </c:marker>
      </c:pivotFmt>
      <c:pivotFmt>
        <c:idx val="513"/>
        <c:marker>
          <c:symbol val="none"/>
        </c:marker>
      </c:pivotFmt>
      <c:pivotFmt>
        <c:idx val="514"/>
        <c:marker>
          <c:symbol val="none"/>
        </c:marker>
      </c:pivotFmt>
      <c:pivotFmt>
        <c:idx val="515"/>
        <c:marker>
          <c:symbol val="none"/>
        </c:marker>
      </c:pivotFmt>
      <c:pivotFmt>
        <c:idx val="516"/>
        <c:marker>
          <c:symbol val="none"/>
        </c:marker>
      </c:pivotFmt>
      <c:pivotFmt>
        <c:idx val="517"/>
        <c:marker>
          <c:symbol val="none"/>
        </c:marker>
      </c:pivotFmt>
      <c:pivotFmt>
        <c:idx val="518"/>
        <c:marker>
          <c:symbol val="none"/>
        </c:marker>
      </c:pivotFmt>
      <c:pivotFmt>
        <c:idx val="519"/>
        <c:marker>
          <c:symbol val="none"/>
        </c:marker>
      </c:pivotFmt>
      <c:pivotFmt>
        <c:idx val="520"/>
        <c:marker>
          <c:symbol val="none"/>
        </c:marker>
      </c:pivotFmt>
      <c:pivotFmt>
        <c:idx val="521"/>
        <c:marker>
          <c:symbol val="none"/>
        </c:marker>
      </c:pivotFmt>
      <c:pivotFmt>
        <c:idx val="522"/>
        <c:marker>
          <c:symbol val="none"/>
        </c:marker>
      </c:pivotFmt>
      <c:pivotFmt>
        <c:idx val="523"/>
        <c:marker>
          <c:symbol val="none"/>
        </c:marker>
      </c:pivotFmt>
      <c:pivotFmt>
        <c:idx val="524"/>
        <c:marker>
          <c:symbol val="none"/>
        </c:marker>
      </c:pivotFmt>
      <c:pivotFmt>
        <c:idx val="525"/>
        <c:marker>
          <c:symbol val="none"/>
        </c:marker>
      </c:pivotFmt>
      <c:pivotFmt>
        <c:idx val="526"/>
        <c:marker>
          <c:symbol val="none"/>
        </c:marker>
      </c:pivotFmt>
      <c:pivotFmt>
        <c:idx val="527"/>
        <c:marker>
          <c:symbol val="none"/>
        </c:marker>
      </c:pivotFmt>
      <c:pivotFmt>
        <c:idx val="528"/>
        <c:marker>
          <c:symbol val="none"/>
        </c:marker>
      </c:pivotFmt>
      <c:pivotFmt>
        <c:idx val="529"/>
        <c:marker>
          <c:symbol val="none"/>
        </c:marker>
      </c:pivotFmt>
      <c:pivotFmt>
        <c:idx val="530"/>
        <c:marker>
          <c:symbol val="none"/>
        </c:marker>
      </c:pivotFmt>
      <c:pivotFmt>
        <c:idx val="531"/>
        <c:marker>
          <c:symbol val="none"/>
        </c:marker>
      </c:pivotFmt>
      <c:pivotFmt>
        <c:idx val="532"/>
        <c:marker>
          <c:symbol val="none"/>
        </c:marker>
      </c:pivotFmt>
      <c:pivotFmt>
        <c:idx val="533"/>
        <c:marker>
          <c:symbol val="none"/>
        </c:marker>
      </c:pivotFmt>
      <c:pivotFmt>
        <c:idx val="534"/>
        <c:marker>
          <c:symbol val="none"/>
        </c:marker>
      </c:pivotFmt>
      <c:pivotFmt>
        <c:idx val="535"/>
        <c:marker>
          <c:symbol val="none"/>
        </c:marker>
      </c:pivotFmt>
      <c:pivotFmt>
        <c:idx val="536"/>
        <c:marker>
          <c:symbol val="none"/>
        </c:marker>
      </c:pivotFmt>
      <c:pivotFmt>
        <c:idx val="537"/>
        <c:marker>
          <c:symbol val="none"/>
        </c:marker>
      </c:pivotFmt>
      <c:pivotFmt>
        <c:idx val="538"/>
        <c:marker>
          <c:symbol val="none"/>
        </c:marker>
      </c:pivotFmt>
      <c:pivotFmt>
        <c:idx val="539"/>
        <c:marker>
          <c:symbol val="none"/>
        </c:marker>
      </c:pivotFmt>
      <c:pivotFmt>
        <c:idx val="540"/>
        <c:marker>
          <c:symbol val="none"/>
        </c:marker>
      </c:pivotFmt>
      <c:pivotFmt>
        <c:idx val="541"/>
        <c:marker>
          <c:symbol val="none"/>
        </c:marker>
      </c:pivotFmt>
      <c:pivotFmt>
        <c:idx val="542"/>
        <c:marker>
          <c:symbol val="none"/>
        </c:marker>
      </c:pivotFmt>
      <c:pivotFmt>
        <c:idx val="543"/>
        <c:marker>
          <c:symbol val="none"/>
        </c:marker>
      </c:pivotFmt>
      <c:pivotFmt>
        <c:idx val="544"/>
        <c:marker>
          <c:symbol val="none"/>
        </c:marker>
      </c:pivotFmt>
      <c:pivotFmt>
        <c:idx val="545"/>
        <c:marker>
          <c:symbol val="none"/>
        </c:marker>
      </c:pivotFmt>
      <c:pivotFmt>
        <c:idx val="546"/>
        <c:marker>
          <c:symbol val="none"/>
        </c:marker>
      </c:pivotFmt>
      <c:pivotFmt>
        <c:idx val="547"/>
        <c:marker>
          <c:symbol val="none"/>
        </c:marker>
      </c:pivotFmt>
      <c:pivotFmt>
        <c:idx val="548"/>
        <c:marker>
          <c:symbol val="none"/>
        </c:marker>
      </c:pivotFmt>
      <c:pivotFmt>
        <c:idx val="549"/>
        <c:marker>
          <c:symbol val="none"/>
        </c:marker>
      </c:pivotFmt>
      <c:pivotFmt>
        <c:idx val="550"/>
        <c:marker>
          <c:symbol val="none"/>
        </c:marker>
      </c:pivotFmt>
      <c:pivotFmt>
        <c:idx val="551"/>
        <c:marker>
          <c:symbol val="none"/>
        </c:marker>
      </c:pivotFmt>
      <c:pivotFmt>
        <c:idx val="552"/>
        <c:marker>
          <c:symbol val="none"/>
        </c:marker>
      </c:pivotFmt>
      <c:pivotFmt>
        <c:idx val="553"/>
        <c:marker>
          <c:symbol val="none"/>
        </c:marker>
      </c:pivotFmt>
      <c:pivotFmt>
        <c:idx val="554"/>
        <c:marker>
          <c:symbol val="none"/>
        </c:marker>
      </c:pivotFmt>
      <c:pivotFmt>
        <c:idx val="555"/>
        <c:marker>
          <c:symbol val="none"/>
        </c:marker>
      </c:pivotFmt>
      <c:pivotFmt>
        <c:idx val="556"/>
        <c:marker>
          <c:symbol val="none"/>
        </c:marker>
      </c:pivotFmt>
      <c:pivotFmt>
        <c:idx val="557"/>
        <c:marker>
          <c:symbol val="none"/>
        </c:marker>
      </c:pivotFmt>
      <c:pivotFmt>
        <c:idx val="558"/>
        <c:marker>
          <c:symbol val="none"/>
        </c:marker>
      </c:pivotFmt>
      <c:pivotFmt>
        <c:idx val="559"/>
        <c:marker>
          <c:symbol val="none"/>
        </c:marker>
      </c:pivotFmt>
      <c:pivotFmt>
        <c:idx val="560"/>
        <c:marker>
          <c:symbol val="none"/>
        </c:marker>
      </c:pivotFmt>
      <c:pivotFmt>
        <c:idx val="561"/>
        <c:marker>
          <c:symbol val="none"/>
        </c:marker>
      </c:pivotFmt>
      <c:pivotFmt>
        <c:idx val="562"/>
        <c:marker>
          <c:symbol val="none"/>
        </c:marker>
      </c:pivotFmt>
      <c:pivotFmt>
        <c:idx val="563"/>
        <c:marker>
          <c:symbol val="none"/>
        </c:marker>
      </c:pivotFmt>
      <c:pivotFmt>
        <c:idx val="564"/>
        <c:marker>
          <c:symbol val="none"/>
        </c:marker>
      </c:pivotFmt>
      <c:pivotFmt>
        <c:idx val="565"/>
        <c:marker>
          <c:symbol val="none"/>
        </c:marker>
      </c:pivotFmt>
      <c:pivotFmt>
        <c:idx val="566"/>
        <c:marker>
          <c:symbol val="none"/>
        </c:marker>
      </c:pivotFmt>
      <c:pivotFmt>
        <c:idx val="567"/>
        <c:marker>
          <c:symbol val="none"/>
        </c:marker>
      </c:pivotFmt>
      <c:pivotFmt>
        <c:idx val="568"/>
        <c:marker>
          <c:symbol val="none"/>
        </c:marker>
      </c:pivotFmt>
      <c:pivotFmt>
        <c:idx val="569"/>
        <c:marker>
          <c:symbol val="none"/>
        </c:marker>
      </c:pivotFmt>
      <c:pivotFmt>
        <c:idx val="570"/>
        <c:marker>
          <c:symbol val="none"/>
        </c:marker>
      </c:pivotFmt>
      <c:pivotFmt>
        <c:idx val="571"/>
        <c:marker>
          <c:symbol val="none"/>
        </c:marker>
      </c:pivotFmt>
      <c:pivotFmt>
        <c:idx val="572"/>
        <c:marker>
          <c:symbol val="none"/>
        </c:marker>
      </c:pivotFmt>
      <c:pivotFmt>
        <c:idx val="573"/>
        <c:marker>
          <c:symbol val="none"/>
        </c:marker>
      </c:pivotFmt>
      <c:pivotFmt>
        <c:idx val="574"/>
        <c:marker>
          <c:symbol val="none"/>
        </c:marker>
      </c:pivotFmt>
      <c:pivotFmt>
        <c:idx val="575"/>
        <c:marker>
          <c:symbol val="none"/>
        </c:marker>
      </c:pivotFmt>
      <c:pivotFmt>
        <c:idx val="576"/>
        <c:marker>
          <c:symbol val="none"/>
        </c:marker>
      </c:pivotFmt>
      <c:pivotFmt>
        <c:idx val="577"/>
        <c:marker>
          <c:symbol val="none"/>
        </c:marker>
      </c:pivotFmt>
      <c:pivotFmt>
        <c:idx val="578"/>
        <c:marker>
          <c:symbol val="none"/>
        </c:marker>
      </c:pivotFmt>
      <c:pivotFmt>
        <c:idx val="579"/>
        <c:marker>
          <c:symbol val="none"/>
        </c:marker>
      </c:pivotFmt>
      <c:pivotFmt>
        <c:idx val="580"/>
        <c:marker>
          <c:symbol val="none"/>
        </c:marker>
      </c:pivotFmt>
      <c:pivotFmt>
        <c:idx val="581"/>
        <c:marker>
          <c:symbol val="none"/>
        </c:marker>
      </c:pivotFmt>
      <c:pivotFmt>
        <c:idx val="582"/>
        <c:marker>
          <c:symbol val="none"/>
        </c:marker>
      </c:pivotFmt>
      <c:pivotFmt>
        <c:idx val="583"/>
        <c:marker>
          <c:symbol val="none"/>
        </c:marker>
      </c:pivotFmt>
      <c:pivotFmt>
        <c:idx val="584"/>
        <c:marker>
          <c:symbol val="none"/>
        </c:marker>
      </c:pivotFmt>
      <c:pivotFmt>
        <c:idx val="585"/>
        <c:marker>
          <c:symbol val="none"/>
        </c:marker>
      </c:pivotFmt>
      <c:pivotFmt>
        <c:idx val="586"/>
        <c:marker>
          <c:symbol val="none"/>
        </c:marker>
      </c:pivotFmt>
      <c:pivotFmt>
        <c:idx val="587"/>
        <c:marker>
          <c:symbol val="none"/>
        </c:marker>
      </c:pivotFmt>
      <c:pivotFmt>
        <c:idx val="588"/>
        <c:marker>
          <c:symbol val="none"/>
        </c:marker>
      </c:pivotFmt>
      <c:pivotFmt>
        <c:idx val="589"/>
        <c:marker>
          <c:symbol val="none"/>
        </c:marker>
      </c:pivotFmt>
      <c:pivotFmt>
        <c:idx val="590"/>
        <c:marker>
          <c:symbol val="none"/>
        </c:marker>
      </c:pivotFmt>
      <c:pivotFmt>
        <c:idx val="591"/>
        <c:marker>
          <c:symbol val="none"/>
        </c:marker>
      </c:pivotFmt>
      <c:pivotFmt>
        <c:idx val="592"/>
        <c:marker>
          <c:symbol val="none"/>
        </c:marker>
      </c:pivotFmt>
      <c:pivotFmt>
        <c:idx val="593"/>
        <c:marker>
          <c:symbol val="none"/>
        </c:marker>
      </c:pivotFmt>
      <c:pivotFmt>
        <c:idx val="594"/>
        <c:marker>
          <c:symbol val="none"/>
        </c:marker>
      </c:pivotFmt>
      <c:pivotFmt>
        <c:idx val="595"/>
        <c:marker>
          <c:symbol val="none"/>
        </c:marker>
      </c:pivotFmt>
      <c:pivotFmt>
        <c:idx val="596"/>
        <c:marker>
          <c:symbol val="none"/>
        </c:marker>
      </c:pivotFmt>
      <c:pivotFmt>
        <c:idx val="597"/>
        <c:marker>
          <c:symbol val="none"/>
        </c:marker>
      </c:pivotFmt>
      <c:pivotFmt>
        <c:idx val="598"/>
        <c:marker>
          <c:symbol val="none"/>
        </c:marker>
      </c:pivotFmt>
      <c:pivotFmt>
        <c:idx val="599"/>
        <c:marker>
          <c:symbol val="none"/>
        </c:marker>
      </c:pivotFmt>
      <c:pivotFmt>
        <c:idx val="600"/>
        <c:marker>
          <c:symbol val="none"/>
        </c:marker>
      </c:pivotFmt>
      <c:pivotFmt>
        <c:idx val="601"/>
        <c:marker>
          <c:symbol val="none"/>
        </c:marker>
      </c:pivotFmt>
      <c:pivotFmt>
        <c:idx val="602"/>
        <c:marker>
          <c:symbol val="none"/>
        </c:marker>
      </c:pivotFmt>
      <c:pivotFmt>
        <c:idx val="603"/>
        <c:marker>
          <c:symbol val="none"/>
        </c:marker>
      </c:pivotFmt>
      <c:pivotFmt>
        <c:idx val="604"/>
        <c:marker>
          <c:symbol val="none"/>
        </c:marker>
      </c:pivotFmt>
      <c:pivotFmt>
        <c:idx val="605"/>
        <c:marker>
          <c:symbol val="none"/>
        </c:marker>
      </c:pivotFmt>
      <c:pivotFmt>
        <c:idx val="606"/>
        <c:marker>
          <c:symbol val="none"/>
        </c:marker>
      </c:pivotFmt>
      <c:pivotFmt>
        <c:idx val="607"/>
        <c:marker>
          <c:symbol val="none"/>
        </c:marker>
      </c:pivotFmt>
      <c:pivotFmt>
        <c:idx val="608"/>
        <c:marker>
          <c:symbol val="none"/>
        </c:marker>
      </c:pivotFmt>
      <c:pivotFmt>
        <c:idx val="609"/>
        <c:marker>
          <c:symbol val="none"/>
        </c:marker>
      </c:pivotFmt>
      <c:pivotFmt>
        <c:idx val="610"/>
        <c:marker>
          <c:symbol val="none"/>
        </c:marker>
      </c:pivotFmt>
      <c:pivotFmt>
        <c:idx val="611"/>
        <c:marker>
          <c:symbol val="none"/>
        </c:marker>
      </c:pivotFmt>
      <c:pivotFmt>
        <c:idx val="612"/>
        <c:marker>
          <c:symbol val="none"/>
        </c:marker>
      </c:pivotFmt>
      <c:pivotFmt>
        <c:idx val="613"/>
        <c:marker>
          <c:symbol val="none"/>
        </c:marker>
      </c:pivotFmt>
      <c:pivotFmt>
        <c:idx val="614"/>
        <c:marker>
          <c:symbol val="none"/>
        </c:marker>
      </c:pivotFmt>
      <c:pivotFmt>
        <c:idx val="615"/>
        <c:marker>
          <c:symbol val="none"/>
        </c:marker>
      </c:pivotFmt>
      <c:pivotFmt>
        <c:idx val="616"/>
        <c:marker>
          <c:symbol val="none"/>
        </c:marker>
      </c:pivotFmt>
      <c:pivotFmt>
        <c:idx val="617"/>
        <c:marker>
          <c:symbol val="none"/>
        </c:marker>
      </c:pivotFmt>
      <c:pivotFmt>
        <c:idx val="618"/>
        <c:marker>
          <c:symbol val="none"/>
        </c:marker>
      </c:pivotFmt>
      <c:pivotFmt>
        <c:idx val="619"/>
        <c:marker>
          <c:symbol val="none"/>
        </c:marker>
      </c:pivotFmt>
      <c:pivotFmt>
        <c:idx val="620"/>
        <c:marker>
          <c:symbol val="none"/>
        </c:marker>
      </c:pivotFmt>
      <c:pivotFmt>
        <c:idx val="621"/>
        <c:marker>
          <c:symbol val="none"/>
        </c:marker>
      </c:pivotFmt>
      <c:pivotFmt>
        <c:idx val="622"/>
        <c:marker>
          <c:symbol val="none"/>
        </c:marker>
      </c:pivotFmt>
      <c:pivotFmt>
        <c:idx val="623"/>
        <c:marker>
          <c:symbol val="none"/>
        </c:marker>
      </c:pivotFmt>
      <c:pivotFmt>
        <c:idx val="624"/>
        <c:marker>
          <c:symbol val="none"/>
        </c:marker>
      </c:pivotFmt>
      <c:pivotFmt>
        <c:idx val="625"/>
        <c:marker>
          <c:symbol val="none"/>
        </c:marker>
      </c:pivotFmt>
      <c:pivotFmt>
        <c:idx val="626"/>
        <c:marker>
          <c:symbol val="none"/>
        </c:marker>
      </c:pivotFmt>
      <c:pivotFmt>
        <c:idx val="627"/>
        <c:marker>
          <c:symbol val="none"/>
        </c:marker>
      </c:pivotFmt>
      <c:pivotFmt>
        <c:idx val="628"/>
        <c:marker>
          <c:symbol val="none"/>
        </c:marker>
      </c:pivotFmt>
      <c:pivotFmt>
        <c:idx val="629"/>
        <c:marker>
          <c:symbol val="none"/>
        </c:marker>
      </c:pivotFmt>
      <c:pivotFmt>
        <c:idx val="630"/>
        <c:marker>
          <c:symbol val="none"/>
        </c:marker>
      </c:pivotFmt>
      <c:pivotFmt>
        <c:idx val="631"/>
        <c:marker>
          <c:symbol val="none"/>
        </c:marker>
      </c:pivotFmt>
      <c:pivotFmt>
        <c:idx val="632"/>
        <c:marker>
          <c:symbol val="none"/>
        </c:marker>
      </c:pivotFmt>
      <c:pivotFmt>
        <c:idx val="633"/>
        <c:marker>
          <c:symbol val="none"/>
        </c:marker>
      </c:pivotFmt>
      <c:pivotFmt>
        <c:idx val="634"/>
        <c:marker>
          <c:symbol val="none"/>
        </c:marker>
      </c:pivotFmt>
      <c:pivotFmt>
        <c:idx val="635"/>
        <c:marker>
          <c:symbol val="none"/>
        </c:marker>
      </c:pivotFmt>
      <c:pivotFmt>
        <c:idx val="636"/>
        <c:marker>
          <c:symbol val="none"/>
        </c:marker>
      </c:pivotFmt>
      <c:pivotFmt>
        <c:idx val="637"/>
        <c:marker>
          <c:symbol val="none"/>
        </c:marker>
      </c:pivotFmt>
      <c:pivotFmt>
        <c:idx val="638"/>
        <c:marker>
          <c:symbol val="none"/>
        </c:marker>
      </c:pivotFmt>
      <c:pivotFmt>
        <c:idx val="639"/>
        <c:marker>
          <c:symbol val="none"/>
        </c:marker>
      </c:pivotFmt>
      <c:pivotFmt>
        <c:idx val="640"/>
        <c:marker>
          <c:symbol val="none"/>
        </c:marker>
      </c:pivotFmt>
      <c:pivotFmt>
        <c:idx val="641"/>
        <c:marker>
          <c:symbol val="none"/>
        </c:marker>
      </c:pivotFmt>
      <c:pivotFmt>
        <c:idx val="642"/>
        <c:marker>
          <c:symbol val="none"/>
        </c:marker>
      </c:pivotFmt>
      <c:pivotFmt>
        <c:idx val="643"/>
        <c:marker>
          <c:symbol val="none"/>
        </c:marker>
      </c:pivotFmt>
      <c:pivotFmt>
        <c:idx val="644"/>
        <c:marker>
          <c:symbol val="none"/>
        </c:marker>
      </c:pivotFmt>
      <c:pivotFmt>
        <c:idx val="645"/>
        <c:marker>
          <c:symbol val="none"/>
        </c:marker>
      </c:pivotFmt>
      <c:pivotFmt>
        <c:idx val="646"/>
        <c:marker>
          <c:symbol val="none"/>
        </c:marker>
      </c:pivotFmt>
      <c:pivotFmt>
        <c:idx val="647"/>
        <c:marker>
          <c:symbol val="none"/>
        </c:marker>
      </c:pivotFmt>
      <c:pivotFmt>
        <c:idx val="648"/>
        <c:marker>
          <c:symbol val="none"/>
        </c:marker>
      </c:pivotFmt>
      <c:pivotFmt>
        <c:idx val="649"/>
        <c:marker>
          <c:symbol val="none"/>
        </c:marker>
      </c:pivotFmt>
      <c:pivotFmt>
        <c:idx val="650"/>
        <c:marker>
          <c:symbol val="none"/>
        </c:marker>
      </c:pivotFmt>
      <c:pivotFmt>
        <c:idx val="651"/>
        <c:marker>
          <c:symbol val="none"/>
        </c:marker>
      </c:pivotFmt>
      <c:pivotFmt>
        <c:idx val="652"/>
        <c:marker>
          <c:symbol val="none"/>
        </c:marker>
      </c:pivotFmt>
      <c:pivotFmt>
        <c:idx val="653"/>
        <c:marker>
          <c:symbol val="none"/>
        </c:marker>
      </c:pivotFmt>
      <c:pivotFmt>
        <c:idx val="654"/>
        <c:marker>
          <c:symbol val="none"/>
        </c:marker>
      </c:pivotFmt>
      <c:pivotFmt>
        <c:idx val="655"/>
        <c:marker>
          <c:symbol val="none"/>
        </c:marker>
      </c:pivotFmt>
      <c:pivotFmt>
        <c:idx val="656"/>
        <c:marker>
          <c:symbol val="none"/>
        </c:marker>
      </c:pivotFmt>
      <c:pivotFmt>
        <c:idx val="657"/>
        <c:marker>
          <c:symbol val="none"/>
        </c:marker>
      </c:pivotFmt>
      <c:pivotFmt>
        <c:idx val="658"/>
        <c:marker>
          <c:symbol val="none"/>
        </c:marker>
      </c:pivotFmt>
      <c:pivotFmt>
        <c:idx val="659"/>
        <c:marker>
          <c:symbol val="none"/>
        </c:marker>
      </c:pivotFmt>
      <c:pivotFmt>
        <c:idx val="660"/>
        <c:marker>
          <c:symbol val="none"/>
        </c:marker>
      </c:pivotFmt>
      <c:pivotFmt>
        <c:idx val="661"/>
        <c:marker>
          <c:symbol val="none"/>
        </c:marker>
      </c:pivotFmt>
      <c:pivotFmt>
        <c:idx val="662"/>
        <c:marker>
          <c:symbol val="none"/>
        </c:marker>
      </c:pivotFmt>
      <c:pivotFmt>
        <c:idx val="663"/>
        <c:marker>
          <c:symbol val="none"/>
        </c:marker>
      </c:pivotFmt>
      <c:pivotFmt>
        <c:idx val="664"/>
        <c:marker>
          <c:symbol val="none"/>
        </c:marker>
      </c:pivotFmt>
      <c:pivotFmt>
        <c:idx val="665"/>
        <c:marker>
          <c:symbol val="none"/>
        </c:marker>
      </c:pivotFmt>
      <c:pivotFmt>
        <c:idx val="666"/>
        <c:marker>
          <c:symbol val="none"/>
        </c:marker>
      </c:pivotFmt>
      <c:pivotFmt>
        <c:idx val="667"/>
        <c:marker>
          <c:symbol val="none"/>
        </c:marker>
      </c:pivotFmt>
      <c:pivotFmt>
        <c:idx val="668"/>
        <c:marker>
          <c:symbol val="none"/>
        </c:marker>
      </c:pivotFmt>
      <c:pivotFmt>
        <c:idx val="669"/>
        <c:marker>
          <c:symbol val="none"/>
        </c:marker>
      </c:pivotFmt>
      <c:pivotFmt>
        <c:idx val="670"/>
        <c:marker>
          <c:symbol val="none"/>
        </c:marker>
      </c:pivotFmt>
      <c:pivotFmt>
        <c:idx val="671"/>
        <c:marker>
          <c:symbol val="none"/>
        </c:marker>
      </c:pivotFmt>
      <c:pivotFmt>
        <c:idx val="672"/>
        <c:marker>
          <c:symbol val="none"/>
        </c:marker>
      </c:pivotFmt>
      <c:pivotFmt>
        <c:idx val="673"/>
        <c:marker>
          <c:symbol val="none"/>
        </c:marker>
      </c:pivotFmt>
      <c:pivotFmt>
        <c:idx val="674"/>
        <c:marker>
          <c:symbol val="none"/>
        </c:marker>
      </c:pivotFmt>
      <c:pivotFmt>
        <c:idx val="675"/>
        <c:marker>
          <c:symbol val="none"/>
        </c:marker>
      </c:pivotFmt>
      <c:pivotFmt>
        <c:idx val="676"/>
        <c:marker>
          <c:symbol val="none"/>
        </c:marker>
      </c:pivotFmt>
      <c:pivotFmt>
        <c:idx val="677"/>
        <c:marker>
          <c:symbol val="none"/>
        </c:marker>
      </c:pivotFmt>
      <c:pivotFmt>
        <c:idx val="678"/>
        <c:marker>
          <c:symbol val="none"/>
        </c:marker>
      </c:pivotFmt>
      <c:pivotFmt>
        <c:idx val="679"/>
        <c:marker>
          <c:symbol val="none"/>
        </c:marker>
      </c:pivotFmt>
      <c:pivotFmt>
        <c:idx val="680"/>
        <c:marker>
          <c:symbol val="none"/>
        </c:marker>
      </c:pivotFmt>
      <c:pivotFmt>
        <c:idx val="681"/>
        <c:marker>
          <c:symbol val="none"/>
        </c:marker>
      </c:pivotFmt>
      <c:pivotFmt>
        <c:idx val="682"/>
        <c:marker>
          <c:symbol val="none"/>
        </c:marker>
      </c:pivotFmt>
      <c:pivotFmt>
        <c:idx val="683"/>
        <c:marker>
          <c:symbol val="none"/>
        </c:marker>
      </c:pivotFmt>
      <c:pivotFmt>
        <c:idx val="684"/>
        <c:marker>
          <c:symbol val="none"/>
        </c:marker>
      </c:pivotFmt>
      <c:pivotFmt>
        <c:idx val="685"/>
        <c:marker>
          <c:symbol val="none"/>
        </c:marker>
      </c:pivotFmt>
      <c:pivotFmt>
        <c:idx val="686"/>
        <c:marker>
          <c:symbol val="none"/>
        </c:marker>
      </c:pivotFmt>
      <c:pivotFmt>
        <c:idx val="687"/>
        <c:marker>
          <c:symbol val="none"/>
        </c:marker>
      </c:pivotFmt>
      <c:pivotFmt>
        <c:idx val="688"/>
        <c:marker>
          <c:symbol val="none"/>
        </c:marker>
      </c:pivotFmt>
      <c:pivotFmt>
        <c:idx val="689"/>
        <c:marker>
          <c:symbol val="none"/>
        </c:marker>
      </c:pivotFmt>
      <c:pivotFmt>
        <c:idx val="690"/>
        <c:marker>
          <c:symbol val="none"/>
        </c:marker>
      </c:pivotFmt>
      <c:pivotFmt>
        <c:idx val="691"/>
        <c:marker>
          <c:symbol val="none"/>
        </c:marker>
      </c:pivotFmt>
      <c:pivotFmt>
        <c:idx val="692"/>
        <c:marker>
          <c:symbol val="none"/>
        </c:marker>
      </c:pivotFmt>
      <c:pivotFmt>
        <c:idx val="693"/>
        <c:marker>
          <c:symbol val="none"/>
        </c:marker>
      </c:pivotFmt>
      <c:pivotFmt>
        <c:idx val="694"/>
        <c:marker>
          <c:symbol val="none"/>
        </c:marker>
      </c:pivotFmt>
      <c:pivotFmt>
        <c:idx val="695"/>
        <c:marker>
          <c:symbol val="none"/>
        </c:marker>
      </c:pivotFmt>
      <c:pivotFmt>
        <c:idx val="696"/>
        <c:marker>
          <c:symbol val="none"/>
        </c:marker>
      </c:pivotFmt>
      <c:pivotFmt>
        <c:idx val="697"/>
        <c:marker>
          <c:symbol val="none"/>
        </c:marker>
      </c:pivotFmt>
      <c:pivotFmt>
        <c:idx val="698"/>
        <c:marker>
          <c:symbol val="none"/>
        </c:marker>
      </c:pivotFmt>
      <c:pivotFmt>
        <c:idx val="699"/>
        <c:marker>
          <c:symbol val="none"/>
        </c:marker>
      </c:pivotFmt>
      <c:pivotFmt>
        <c:idx val="700"/>
        <c:marker>
          <c:symbol val="none"/>
        </c:marker>
      </c:pivotFmt>
      <c:pivotFmt>
        <c:idx val="701"/>
        <c:marker>
          <c:symbol val="none"/>
        </c:marker>
      </c:pivotFmt>
      <c:pivotFmt>
        <c:idx val="702"/>
        <c:marker>
          <c:symbol val="none"/>
        </c:marker>
      </c:pivotFmt>
      <c:pivotFmt>
        <c:idx val="703"/>
        <c:marker>
          <c:symbol val="none"/>
        </c:marker>
      </c:pivotFmt>
      <c:pivotFmt>
        <c:idx val="704"/>
        <c:marker>
          <c:symbol val="none"/>
        </c:marker>
      </c:pivotFmt>
    </c:pivotFmts>
    <c:plotArea>
      <c:layout/>
      <c:barChart>
        <c:barDir val="col"/>
        <c:grouping val="clustered"/>
        <c:varyColors val="0"/>
        <c:ser>
          <c:idx val="0"/>
          <c:order val="0"/>
          <c:tx>
            <c:strRef>
              <c:f>'comparators (2)'!$B$37</c:f>
              <c:strCache>
                <c:ptCount val="1"/>
                <c:pt idx="0">
                  <c:v>Sum of NHS Days</c:v>
                </c:pt>
              </c:strCache>
            </c:strRef>
          </c:tx>
          <c:invertIfNegative val="0"/>
          <c:cat>
            <c:multiLvlStrRef>
              <c:f>'comparators (2)'!$A$38:$A$70</c:f>
              <c:multiLvlStrCache>
                <c:ptCount val="29"/>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pt idx="12">
                    <c:v>APRIL</c:v>
                  </c:pt>
                  <c:pt idx="13">
                    <c:v>MAY</c:v>
                  </c:pt>
                  <c:pt idx="14">
                    <c:v>JUNE</c:v>
                  </c:pt>
                  <c:pt idx="15">
                    <c:v>JULY</c:v>
                  </c:pt>
                  <c:pt idx="16">
                    <c:v>AUGUST</c:v>
                  </c:pt>
                  <c:pt idx="17">
                    <c:v>SEPTEMBER</c:v>
                  </c:pt>
                  <c:pt idx="18">
                    <c:v>OCTOBER</c:v>
                  </c:pt>
                  <c:pt idx="19">
                    <c:v>NOVEMBER</c:v>
                  </c:pt>
                  <c:pt idx="20">
                    <c:v>DECEMBER</c:v>
                  </c:pt>
                  <c:pt idx="21">
                    <c:v>JANUARY</c:v>
                  </c:pt>
                  <c:pt idx="22">
                    <c:v>FEBRUARY</c:v>
                  </c:pt>
                  <c:pt idx="23">
                    <c:v>MARCH</c:v>
                  </c:pt>
                  <c:pt idx="24">
                    <c:v>APRIL</c:v>
                  </c:pt>
                  <c:pt idx="25">
                    <c:v>MAY</c:v>
                  </c:pt>
                  <c:pt idx="26">
                    <c:v>JUNE</c:v>
                  </c:pt>
                  <c:pt idx="27">
                    <c:v>JULY</c:v>
                  </c:pt>
                  <c:pt idx="28">
                    <c:v>AUGUST</c:v>
                  </c:pt>
                </c:lvl>
                <c:lvl>
                  <c:pt idx="0">
                    <c:v>2016-17</c:v>
                  </c:pt>
                  <c:pt idx="12">
                    <c:v>2017-18</c:v>
                  </c:pt>
                  <c:pt idx="24">
                    <c:v>2018-19</c:v>
                  </c:pt>
                </c:lvl>
              </c:multiLvlStrCache>
            </c:multiLvlStrRef>
          </c:cat>
          <c:val>
            <c:numRef>
              <c:f>'comparators (2)'!$B$38:$B$70</c:f>
              <c:numCache>
                <c:formatCode>General</c:formatCode>
                <c:ptCount val="29"/>
                <c:pt idx="0">
                  <c:v>3345</c:v>
                </c:pt>
                <c:pt idx="1">
                  <c:v>2693</c:v>
                </c:pt>
                <c:pt idx="2">
                  <c:v>2646</c:v>
                </c:pt>
                <c:pt idx="3">
                  <c:v>2604</c:v>
                </c:pt>
                <c:pt idx="4">
                  <c:v>2769</c:v>
                </c:pt>
                <c:pt idx="5">
                  <c:v>3026</c:v>
                </c:pt>
                <c:pt idx="6">
                  <c:v>3008</c:v>
                </c:pt>
                <c:pt idx="7">
                  <c:v>3145</c:v>
                </c:pt>
                <c:pt idx="8">
                  <c:v>3293</c:v>
                </c:pt>
                <c:pt idx="9">
                  <c:v>3273</c:v>
                </c:pt>
                <c:pt idx="10">
                  <c:v>1984</c:v>
                </c:pt>
                <c:pt idx="11">
                  <c:v>2113</c:v>
                </c:pt>
                <c:pt idx="12">
                  <c:v>2217</c:v>
                </c:pt>
                <c:pt idx="13">
                  <c:v>2035</c:v>
                </c:pt>
                <c:pt idx="14">
                  <c:v>1953</c:v>
                </c:pt>
                <c:pt idx="15">
                  <c:v>1911</c:v>
                </c:pt>
                <c:pt idx="16">
                  <c:v>1780</c:v>
                </c:pt>
                <c:pt idx="17">
                  <c:v>1922</c:v>
                </c:pt>
                <c:pt idx="18">
                  <c:v>2472</c:v>
                </c:pt>
                <c:pt idx="19">
                  <c:v>2216</c:v>
                </c:pt>
                <c:pt idx="20">
                  <c:v>1661</c:v>
                </c:pt>
                <c:pt idx="21">
                  <c:v>1557</c:v>
                </c:pt>
                <c:pt idx="22">
                  <c:v>1907</c:v>
                </c:pt>
                <c:pt idx="23">
                  <c:v>2356</c:v>
                </c:pt>
                <c:pt idx="24">
                  <c:v>2221</c:v>
                </c:pt>
                <c:pt idx="25">
                  <c:v>1855</c:v>
                </c:pt>
                <c:pt idx="26">
                  <c:v>1508</c:v>
                </c:pt>
                <c:pt idx="27">
                  <c:v>1634</c:v>
                </c:pt>
                <c:pt idx="28">
                  <c:v>1568</c:v>
                </c:pt>
              </c:numCache>
            </c:numRef>
          </c:val>
        </c:ser>
        <c:ser>
          <c:idx val="1"/>
          <c:order val="1"/>
          <c:tx>
            <c:strRef>
              <c:f>'comparators (2)'!$C$37</c:f>
              <c:strCache>
                <c:ptCount val="1"/>
                <c:pt idx="0">
                  <c:v>Sum of Social Care Days</c:v>
                </c:pt>
              </c:strCache>
            </c:strRef>
          </c:tx>
          <c:invertIfNegative val="0"/>
          <c:cat>
            <c:multiLvlStrRef>
              <c:f>'comparators (2)'!$A$38:$A$70</c:f>
              <c:multiLvlStrCache>
                <c:ptCount val="29"/>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pt idx="12">
                    <c:v>APRIL</c:v>
                  </c:pt>
                  <c:pt idx="13">
                    <c:v>MAY</c:v>
                  </c:pt>
                  <c:pt idx="14">
                    <c:v>JUNE</c:v>
                  </c:pt>
                  <c:pt idx="15">
                    <c:v>JULY</c:v>
                  </c:pt>
                  <c:pt idx="16">
                    <c:v>AUGUST</c:v>
                  </c:pt>
                  <c:pt idx="17">
                    <c:v>SEPTEMBER</c:v>
                  </c:pt>
                  <c:pt idx="18">
                    <c:v>OCTOBER</c:v>
                  </c:pt>
                  <c:pt idx="19">
                    <c:v>NOVEMBER</c:v>
                  </c:pt>
                  <c:pt idx="20">
                    <c:v>DECEMBER</c:v>
                  </c:pt>
                  <c:pt idx="21">
                    <c:v>JANUARY</c:v>
                  </c:pt>
                  <c:pt idx="22">
                    <c:v>FEBRUARY</c:v>
                  </c:pt>
                  <c:pt idx="23">
                    <c:v>MARCH</c:v>
                  </c:pt>
                  <c:pt idx="24">
                    <c:v>APRIL</c:v>
                  </c:pt>
                  <c:pt idx="25">
                    <c:v>MAY</c:v>
                  </c:pt>
                  <c:pt idx="26">
                    <c:v>JUNE</c:v>
                  </c:pt>
                  <c:pt idx="27">
                    <c:v>JULY</c:v>
                  </c:pt>
                  <c:pt idx="28">
                    <c:v>AUGUST</c:v>
                  </c:pt>
                </c:lvl>
                <c:lvl>
                  <c:pt idx="0">
                    <c:v>2016-17</c:v>
                  </c:pt>
                  <c:pt idx="12">
                    <c:v>2017-18</c:v>
                  </c:pt>
                  <c:pt idx="24">
                    <c:v>2018-19</c:v>
                  </c:pt>
                </c:lvl>
              </c:multiLvlStrCache>
            </c:multiLvlStrRef>
          </c:cat>
          <c:val>
            <c:numRef>
              <c:f>'comparators (2)'!$C$38:$C$70</c:f>
              <c:numCache>
                <c:formatCode>General</c:formatCode>
                <c:ptCount val="29"/>
                <c:pt idx="0">
                  <c:v>628</c:v>
                </c:pt>
                <c:pt idx="1">
                  <c:v>852</c:v>
                </c:pt>
                <c:pt idx="2">
                  <c:v>758</c:v>
                </c:pt>
                <c:pt idx="3">
                  <c:v>724</c:v>
                </c:pt>
                <c:pt idx="4">
                  <c:v>977</c:v>
                </c:pt>
                <c:pt idx="5">
                  <c:v>1527</c:v>
                </c:pt>
                <c:pt idx="6">
                  <c:v>1245</c:v>
                </c:pt>
                <c:pt idx="7">
                  <c:v>931</c:v>
                </c:pt>
                <c:pt idx="8">
                  <c:v>1316</c:v>
                </c:pt>
                <c:pt idx="9">
                  <c:v>1322</c:v>
                </c:pt>
                <c:pt idx="10">
                  <c:v>1905</c:v>
                </c:pt>
                <c:pt idx="11">
                  <c:v>2167</c:v>
                </c:pt>
                <c:pt idx="12">
                  <c:v>2140</c:v>
                </c:pt>
                <c:pt idx="13">
                  <c:v>2531</c:v>
                </c:pt>
                <c:pt idx="14">
                  <c:v>2436</c:v>
                </c:pt>
                <c:pt idx="15">
                  <c:v>2824</c:v>
                </c:pt>
                <c:pt idx="16">
                  <c:v>2306</c:v>
                </c:pt>
                <c:pt idx="17">
                  <c:v>2218</c:v>
                </c:pt>
                <c:pt idx="18">
                  <c:v>1872</c:v>
                </c:pt>
                <c:pt idx="19">
                  <c:v>1936</c:v>
                </c:pt>
                <c:pt idx="20">
                  <c:v>1811</c:v>
                </c:pt>
                <c:pt idx="21">
                  <c:v>1634</c:v>
                </c:pt>
                <c:pt idx="22">
                  <c:v>1216</c:v>
                </c:pt>
                <c:pt idx="23">
                  <c:v>1232</c:v>
                </c:pt>
                <c:pt idx="24">
                  <c:v>995</c:v>
                </c:pt>
                <c:pt idx="25">
                  <c:v>1147</c:v>
                </c:pt>
                <c:pt idx="26">
                  <c:v>1093</c:v>
                </c:pt>
                <c:pt idx="27">
                  <c:v>1054</c:v>
                </c:pt>
                <c:pt idx="28">
                  <c:v>1232</c:v>
                </c:pt>
              </c:numCache>
            </c:numRef>
          </c:val>
        </c:ser>
        <c:ser>
          <c:idx val="2"/>
          <c:order val="2"/>
          <c:tx>
            <c:strRef>
              <c:f>'comparators (2)'!$D$37</c:f>
              <c:strCache>
                <c:ptCount val="1"/>
                <c:pt idx="0">
                  <c:v>Sum of NHS and Social Care Days</c:v>
                </c:pt>
              </c:strCache>
            </c:strRef>
          </c:tx>
          <c:invertIfNegative val="0"/>
          <c:cat>
            <c:multiLvlStrRef>
              <c:f>'comparators (2)'!$A$38:$A$70</c:f>
              <c:multiLvlStrCache>
                <c:ptCount val="29"/>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pt idx="12">
                    <c:v>APRIL</c:v>
                  </c:pt>
                  <c:pt idx="13">
                    <c:v>MAY</c:v>
                  </c:pt>
                  <c:pt idx="14">
                    <c:v>JUNE</c:v>
                  </c:pt>
                  <c:pt idx="15">
                    <c:v>JULY</c:v>
                  </c:pt>
                  <c:pt idx="16">
                    <c:v>AUGUST</c:v>
                  </c:pt>
                  <c:pt idx="17">
                    <c:v>SEPTEMBER</c:v>
                  </c:pt>
                  <c:pt idx="18">
                    <c:v>OCTOBER</c:v>
                  </c:pt>
                  <c:pt idx="19">
                    <c:v>NOVEMBER</c:v>
                  </c:pt>
                  <c:pt idx="20">
                    <c:v>DECEMBER</c:v>
                  </c:pt>
                  <c:pt idx="21">
                    <c:v>JANUARY</c:v>
                  </c:pt>
                  <c:pt idx="22">
                    <c:v>FEBRUARY</c:v>
                  </c:pt>
                  <c:pt idx="23">
                    <c:v>MARCH</c:v>
                  </c:pt>
                  <c:pt idx="24">
                    <c:v>APRIL</c:v>
                  </c:pt>
                  <c:pt idx="25">
                    <c:v>MAY</c:v>
                  </c:pt>
                  <c:pt idx="26">
                    <c:v>JUNE</c:v>
                  </c:pt>
                  <c:pt idx="27">
                    <c:v>JULY</c:v>
                  </c:pt>
                  <c:pt idx="28">
                    <c:v>AUGUST</c:v>
                  </c:pt>
                </c:lvl>
                <c:lvl>
                  <c:pt idx="0">
                    <c:v>2016-17</c:v>
                  </c:pt>
                  <c:pt idx="12">
                    <c:v>2017-18</c:v>
                  </c:pt>
                  <c:pt idx="24">
                    <c:v>2018-19</c:v>
                  </c:pt>
                </c:lvl>
              </c:multiLvlStrCache>
            </c:multiLvlStrRef>
          </c:cat>
          <c:val>
            <c:numRef>
              <c:f>'comparators (2)'!$D$38:$D$70</c:f>
              <c:numCache>
                <c:formatCode>General</c:formatCode>
                <c:ptCount val="29"/>
                <c:pt idx="0">
                  <c:v>132</c:v>
                </c:pt>
                <c:pt idx="1">
                  <c:v>162</c:v>
                </c:pt>
                <c:pt idx="2">
                  <c:v>149</c:v>
                </c:pt>
                <c:pt idx="3">
                  <c:v>249</c:v>
                </c:pt>
                <c:pt idx="4">
                  <c:v>278</c:v>
                </c:pt>
                <c:pt idx="5">
                  <c:v>405</c:v>
                </c:pt>
                <c:pt idx="6">
                  <c:v>448</c:v>
                </c:pt>
                <c:pt idx="7">
                  <c:v>399</c:v>
                </c:pt>
                <c:pt idx="8">
                  <c:v>397</c:v>
                </c:pt>
                <c:pt idx="9">
                  <c:v>316</c:v>
                </c:pt>
                <c:pt idx="10">
                  <c:v>166</c:v>
                </c:pt>
                <c:pt idx="11">
                  <c:v>285</c:v>
                </c:pt>
                <c:pt idx="12">
                  <c:v>252</c:v>
                </c:pt>
                <c:pt idx="13">
                  <c:v>232</c:v>
                </c:pt>
                <c:pt idx="14">
                  <c:v>254</c:v>
                </c:pt>
                <c:pt idx="15">
                  <c:v>162</c:v>
                </c:pt>
                <c:pt idx="16">
                  <c:v>297</c:v>
                </c:pt>
                <c:pt idx="17">
                  <c:v>371</c:v>
                </c:pt>
                <c:pt idx="18">
                  <c:v>365</c:v>
                </c:pt>
                <c:pt idx="19">
                  <c:v>395</c:v>
                </c:pt>
                <c:pt idx="20">
                  <c:v>431</c:v>
                </c:pt>
                <c:pt idx="21">
                  <c:v>288</c:v>
                </c:pt>
                <c:pt idx="22">
                  <c:v>282</c:v>
                </c:pt>
                <c:pt idx="23">
                  <c:v>127</c:v>
                </c:pt>
                <c:pt idx="24">
                  <c:v>207</c:v>
                </c:pt>
                <c:pt idx="25">
                  <c:v>154</c:v>
                </c:pt>
                <c:pt idx="26">
                  <c:v>157</c:v>
                </c:pt>
                <c:pt idx="27">
                  <c:v>209</c:v>
                </c:pt>
                <c:pt idx="28">
                  <c:v>184</c:v>
                </c:pt>
              </c:numCache>
            </c:numRef>
          </c:val>
        </c:ser>
        <c:dLbls>
          <c:showLegendKey val="0"/>
          <c:showVal val="0"/>
          <c:showCatName val="0"/>
          <c:showSerName val="0"/>
          <c:showPercent val="0"/>
          <c:showBubbleSize val="0"/>
        </c:dLbls>
        <c:gapWidth val="150"/>
        <c:axId val="342489096"/>
        <c:axId val="342489488"/>
      </c:barChart>
      <c:catAx>
        <c:axId val="342489096"/>
        <c:scaling>
          <c:orientation val="minMax"/>
        </c:scaling>
        <c:delete val="0"/>
        <c:axPos val="b"/>
        <c:numFmt formatCode="General" sourceLinked="0"/>
        <c:majorTickMark val="out"/>
        <c:minorTickMark val="none"/>
        <c:tickLblPos val="nextTo"/>
        <c:txPr>
          <a:bodyPr/>
          <a:lstStyle/>
          <a:p>
            <a:pPr>
              <a:defRPr sz="800" baseline="0"/>
            </a:pPr>
            <a:endParaRPr lang="en-US"/>
          </a:p>
        </c:txPr>
        <c:crossAx val="342489488"/>
        <c:crosses val="autoZero"/>
        <c:auto val="1"/>
        <c:lblAlgn val="ctr"/>
        <c:lblOffset val="100"/>
        <c:noMultiLvlLbl val="0"/>
      </c:catAx>
      <c:valAx>
        <c:axId val="342489488"/>
        <c:scaling>
          <c:orientation val="minMax"/>
        </c:scaling>
        <c:delete val="0"/>
        <c:axPos val="l"/>
        <c:majorGridlines/>
        <c:numFmt formatCode="General" sourceLinked="1"/>
        <c:majorTickMark val="out"/>
        <c:minorTickMark val="none"/>
        <c:tickLblPos val="nextTo"/>
        <c:crossAx val="342489096"/>
        <c:crosses val="autoZero"/>
        <c:crossBetween val="between"/>
      </c:valAx>
    </c:plotArea>
    <c:legend>
      <c:legendPos val="b"/>
      <c:layout/>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[DTOC 2016_17 to 2018_19 revised1.xlsx]comparators (5)!PivotTable2</c:name>
    <c:fmtId val="662"/>
  </c:pivotSource>
  <c:chart>
    <c:title>
      <c:tx>
        <c:rich>
          <a:bodyPr/>
          <a:lstStyle/>
          <a:p>
            <a:pPr>
              <a:defRPr/>
            </a:pPr>
            <a:r>
              <a:rPr lang="en-GB" sz="1200" b="1" i="0" baseline="0">
                <a:effectLst/>
              </a:rPr>
              <a:t>Nursing Care social care delays </a:t>
            </a:r>
            <a:endParaRPr lang="en-GB" sz="1200">
              <a:effectLst/>
            </a:endParaRPr>
          </a:p>
          <a:p>
            <a:pPr>
              <a:defRPr/>
            </a:pPr>
            <a:r>
              <a:rPr lang="en-GB" sz="1200" b="1" i="0" baseline="0">
                <a:effectLst/>
              </a:rPr>
              <a:t>Apr-17 to  Aug-18 - Lancashire residents</a:t>
            </a:r>
            <a:endParaRPr lang="en-GB" sz="1200">
              <a:effectLst/>
            </a:endParaRPr>
          </a:p>
        </c:rich>
      </c:tx>
      <c:layout>
        <c:manualLayout>
          <c:xMode val="edge"/>
          <c:yMode val="edge"/>
          <c:x val="0.25195087033189589"/>
          <c:y val="2.7062770322723743E-2"/>
        </c:manualLayout>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pivotFmt>
      <c:pivotFmt>
        <c:idx val="61"/>
        <c:marker>
          <c:symbol val="none"/>
        </c:marker>
      </c:pivotFmt>
      <c:pivotFmt>
        <c:idx val="62"/>
        <c:marker>
          <c:symbol val="none"/>
        </c:marker>
      </c:pivotFmt>
      <c:pivotFmt>
        <c:idx val="63"/>
        <c:marker>
          <c:symbol val="none"/>
        </c:marker>
      </c:pivotFmt>
      <c:pivotFmt>
        <c:idx val="64"/>
        <c:marker>
          <c:symbol val="none"/>
        </c:marker>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pivotFmt>
      <c:pivotFmt>
        <c:idx val="76"/>
        <c:marker>
          <c:symbol val="none"/>
        </c:marker>
      </c:pivotFmt>
      <c:pivotFmt>
        <c:idx val="77"/>
        <c:marker>
          <c:symbol val="none"/>
        </c:marker>
      </c:pivotFmt>
      <c:pivotFmt>
        <c:idx val="78"/>
        <c:marker>
          <c:symbol val="none"/>
        </c:marker>
      </c:pivotFmt>
      <c:pivotFmt>
        <c:idx val="79"/>
        <c:marker>
          <c:symbol val="none"/>
        </c:marker>
      </c:pivotFmt>
      <c:pivotFmt>
        <c:idx val="80"/>
        <c:marker>
          <c:symbol val="none"/>
        </c:marker>
      </c:pivotFmt>
      <c:pivotFmt>
        <c:idx val="81"/>
        <c:marker>
          <c:symbol val="none"/>
        </c:marker>
      </c:pivotFmt>
      <c:pivotFmt>
        <c:idx val="82"/>
        <c:marker>
          <c:symbol val="none"/>
        </c:marker>
      </c:pivotFmt>
      <c:pivotFmt>
        <c:idx val="83"/>
        <c:marker>
          <c:symbol val="none"/>
        </c:marker>
      </c:pivotFmt>
      <c:pivotFmt>
        <c:idx val="84"/>
        <c:marker>
          <c:symbol val="none"/>
        </c:marker>
      </c:pivotFmt>
      <c:pivotFmt>
        <c:idx val="85"/>
        <c:marker>
          <c:symbol val="none"/>
        </c:marker>
      </c:pivotFmt>
      <c:pivotFmt>
        <c:idx val="86"/>
        <c:marker>
          <c:symbol val="none"/>
        </c:marker>
      </c:pivotFmt>
      <c:pivotFmt>
        <c:idx val="87"/>
        <c:marker>
          <c:symbol val="none"/>
        </c:marker>
      </c:pivotFmt>
      <c:pivotFmt>
        <c:idx val="88"/>
        <c:marker>
          <c:symbol val="none"/>
        </c:marker>
      </c:pivotFmt>
      <c:pivotFmt>
        <c:idx val="89"/>
        <c:marker>
          <c:symbol val="none"/>
        </c:marker>
      </c:pivotFmt>
      <c:pivotFmt>
        <c:idx val="90"/>
        <c:marker>
          <c:symbol val="none"/>
        </c:marker>
      </c:pivotFmt>
      <c:pivotFmt>
        <c:idx val="91"/>
        <c:marker>
          <c:symbol val="none"/>
        </c:marker>
      </c:pivotFmt>
      <c:pivotFmt>
        <c:idx val="92"/>
        <c:marker>
          <c:symbol val="none"/>
        </c:marker>
      </c:pivotFmt>
      <c:pivotFmt>
        <c:idx val="93"/>
        <c:marker>
          <c:symbol val="none"/>
        </c:marker>
      </c:pivotFmt>
      <c:pivotFmt>
        <c:idx val="94"/>
        <c:marker>
          <c:symbol val="none"/>
        </c:marker>
      </c:pivotFmt>
      <c:pivotFmt>
        <c:idx val="95"/>
        <c:marker>
          <c:symbol val="none"/>
        </c:marker>
      </c:pivotFmt>
      <c:pivotFmt>
        <c:idx val="96"/>
        <c:marker>
          <c:symbol val="none"/>
        </c:marker>
      </c:pivotFmt>
      <c:pivotFmt>
        <c:idx val="97"/>
        <c:marker>
          <c:symbol val="none"/>
        </c:marker>
      </c:pivotFmt>
      <c:pivotFmt>
        <c:idx val="98"/>
        <c:marker>
          <c:symbol val="none"/>
        </c:marker>
      </c:pivotFmt>
      <c:pivotFmt>
        <c:idx val="99"/>
        <c:marker>
          <c:symbol val="none"/>
        </c:marker>
      </c:pivotFmt>
      <c:pivotFmt>
        <c:idx val="100"/>
        <c:marker>
          <c:symbol val="none"/>
        </c:marker>
      </c:pivotFmt>
      <c:pivotFmt>
        <c:idx val="101"/>
      </c:pivotFmt>
      <c:pivotFmt>
        <c:idx val="102"/>
        <c:marker>
          <c:symbol val="none"/>
        </c:marker>
      </c:pivotFmt>
      <c:pivotFmt>
        <c:idx val="103"/>
        <c:marker>
          <c:symbol val="none"/>
        </c:marker>
      </c:pivotFmt>
      <c:pivotFmt>
        <c:idx val="104"/>
        <c:marker>
          <c:symbol val="none"/>
        </c:marker>
      </c:pivotFmt>
      <c:pivotFmt>
        <c:idx val="105"/>
      </c:pivotFmt>
      <c:pivotFmt>
        <c:idx val="106"/>
      </c:pivotFmt>
      <c:pivotFmt>
        <c:idx val="107"/>
      </c:pivotFmt>
      <c:pivotFmt>
        <c:idx val="108"/>
      </c:pivotFmt>
      <c:pivotFmt>
        <c:idx val="109"/>
      </c:pivotFmt>
      <c:pivotFmt>
        <c:idx val="110"/>
      </c:pivotFmt>
      <c:pivotFmt>
        <c:idx val="111"/>
      </c:pivotFmt>
      <c:pivotFmt>
        <c:idx val="112"/>
      </c:pivotFmt>
      <c:pivotFmt>
        <c:idx val="113"/>
      </c:pivotFmt>
      <c:pivotFmt>
        <c:idx val="114"/>
      </c:pivotFmt>
      <c:pivotFmt>
        <c:idx val="115"/>
      </c:pivotFmt>
      <c:pivotFmt>
        <c:idx val="116"/>
      </c:pivotFmt>
      <c:pivotFmt>
        <c:idx val="117"/>
      </c:pivotFmt>
      <c:pivotFmt>
        <c:idx val="118"/>
      </c:pivotFmt>
      <c:pivotFmt>
        <c:idx val="119"/>
      </c:pivotFmt>
      <c:pivotFmt>
        <c:idx val="120"/>
      </c:pivotFmt>
      <c:pivotFmt>
        <c:idx val="121"/>
      </c:pivotFmt>
      <c:pivotFmt>
        <c:idx val="122"/>
      </c:pivotFmt>
      <c:pivotFmt>
        <c:idx val="123"/>
        <c:marker>
          <c:symbol val="none"/>
        </c:marker>
      </c:pivotFmt>
      <c:pivotFmt>
        <c:idx val="124"/>
        <c:marker>
          <c:symbol val="none"/>
        </c:marker>
      </c:pivotFmt>
      <c:pivotFmt>
        <c:idx val="125"/>
        <c:marker>
          <c:symbol val="none"/>
        </c:marker>
      </c:pivotFmt>
      <c:pivotFmt>
        <c:idx val="126"/>
        <c:marker>
          <c:symbol val="none"/>
        </c:marker>
      </c:pivotFmt>
      <c:pivotFmt>
        <c:idx val="127"/>
        <c:marker>
          <c:symbol val="none"/>
        </c:marker>
      </c:pivotFmt>
      <c:pivotFmt>
        <c:idx val="128"/>
        <c:marker>
          <c:symbol val="none"/>
        </c:marker>
      </c:pivotFmt>
      <c:pivotFmt>
        <c:idx val="129"/>
        <c:marker>
          <c:symbol val="none"/>
        </c:marker>
      </c:pivotFmt>
      <c:pivotFmt>
        <c:idx val="130"/>
        <c:marker>
          <c:symbol val="none"/>
        </c:marker>
      </c:pivotFmt>
      <c:pivotFmt>
        <c:idx val="131"/>
        <c:marker>
          <c:symbol val="none"/>
        </c:marker>
      </c:pivotFmt>
      <c:pivotFmt>
        <c:idx val="132"/>
        <c:marker>
          <c:symbol val="none"/>
        </c:marker>
      </c:pivotFmt>
      <c:pivotFmt>
        <c:idx val="133"/>
        <c:marker>
          <c:symbol val="none"/>
        </c:marker>
      </c:pivotFmt>
      <c:pivotFmt>
        <c:idx val="134"/>
        <c:marker>
          <c:symbol val="none"/>
        </c:marker>
      </c:pivotFmt>
      <c:pivotFmt>
        <c:idx val="135"/>
        <c:marker>
          <c:symbol val="none"/>
        </c:marker>
      </c:pivotFmt>
      <c:pivotFmt>
        <c:idx val="136"/>
        <c:marker>
          <c:symbol val="none"/>
        </c:marker>
      </c:pivotFmt>
      <c:pivotFmt>
        <c:idx val="137"/>
        <c:marker>
          <c:symbol val="none"/>
        </c:marker>
      </c:pivotFmt>
      <c:pivotFmt>
        <c:idx val="138"/>
        <c:marker>
          <c:symbol val="none"/>
        </c:marker>
      </c:pivotFmt>
      <c:pivotFmt>
        <c:idx val="139"/>
        <c:marker>
          <c:symbol val="none"/>
        </c:marker>
      </c:pivotFmt>
      <c:pivotFmt>
        <c:idx val="140"/>
        <c:marker>
          <c:symbol val="none"/>
        </c:marker>
      </c:pivotFmt>
      <c:pivotFmt>
        <c:idx val="141"/>
        <c:marker>
          <c:symbol val="none"/>
        </c:marker>
      </c:pivotFmt>
      <c:pivotFmt>
        <c:idx val="142"/>
        <c:marker>
          <c:symbol val="none"/>
        </c:marker>
      </c:pivotFmt>
      <c:pivotFmt>
        <c:idx val="143"/>
        <c:marker>
          <c:symbol val="none"/>
        </c:marker>
      </c:pivotFmt>
      <c:pivotFmt>
        <c:idx val="144"/>
        <c:marker>
          <c:symbol val="none"/>
        </c:marker>
      </c:pivotFmt>
      <c:pivotFmt>
        <c:idx val="145"/>
        <c:marker>
          <c:symbol val="none"/>
        </c:marker>
      </c:pivotFmt>
      <c:pivotFmt>
        <c:idx val="146"/>
        <c:marker>
          <c:symbol val="none"/>
        </c:marker>
      </c:pivotFmt>
      <c:pivotFmt>
        <c:idx val="147"/>
        <c:marker>
          <c:symbol val="none"/>
        </c:marker>
      </c:pivotFmt>
      <c:pivotFmt>
        <c:idx val="148"/>
        <c:marker>
          <c:symbol val="none"/>
        </c:marker>
      </c:pivotFmt>
      <c:pivotFmt>
        <c:idx val="149"/>
        <c:marker>
          <c:symbol val="none"/>
        </c:marker>
      </c:pivotFmt>
      <c:pivotFmt>
        <c:idx val="150"/>
        <c:marker>
          <c:symbol val="none"/>
        </c:marker>
      </c:pivotFmt>
      <c:pivotFmt>
        <c:idx val="151"/>
        <c:marker>
          <c:symbol val="none"/>
        </c:marker>
      </c:pivotFmt>
      <c:pivotFmt>
        <c:idx val="152"/>
        <c:marker>
          <c:symbol val="none"/>
        </c:marker>
      </c:pivotFmt>
      <c:pivotFmt>
        <c:idx val="153"/>
        <c:marker>
          <c:symbol val="none"/>
        </c:marker>
      </c:pivotFmt>
      <c:pivotFmt>
        <c:idx val="154"/>
        <c:marker>
          <c:symbol val="none"/>
        </c:marker>
      </c:pivotFmt>
      <c:pivotFmt>
        <c:idx val="155"/>
        <c:marker>
          <c:symbol val="none"/>
        </c:marker>
      </c:pivotFmt>
      <c:pivotFmt>
        <c:idx val="156"/>
        <c:marker>
          <c:symbol val="none"/>
        </c:marker>
      </c:pivotFmt>
      <c:pivotFmt>
        <c:idx val="157"/>
        <c:marker>
          <c:symbol val="none"/>
        </c:marker>
      </c:pivotFmt>
      <c:pivotFmt>
        <c:idx val="158"/>
        <c:marker>
          <c:symbol val="none"/>
        </c:marker>
      </c:pivotFmt>
      <c:pivotFmt>
        <c:idx val="159"/>
        <c:marker>
          <c:symbol val="none"/>
        </c:marker>
      </c:pivotFmt>
      <c:pivotFmt>
        <c:idx val="160"/>
        <c:marker>
          <c:symbol val="none"/>
        </c:marker>
      </c:pivotFmt>
      <c:pivotFmt>
        <c:idx val="161"/>
        <c:marker>
          <c:symbol val="none"/>
        </c:marker>
      </c:pivotFmt>
      <c:pivotFmt>
        <c:idx val="162"/>
        <c:marker>
          <c:symbol val="none"/>
        </c:marker>
      </c:pivotFmt>
      <c:pivotFmt>
        <c:idx val="163"/>
        <c:marker>
          <c:symbol val="none"/>
        </c:marker>
      </c:pivotFmt>
      <c:pivotFmt>
        <c:idx val="164"/>
        <c:marker>
          <c:symbol val="none"/>
        </c:marker>
      </c:pivotFmt>
      <c:pivotFmt>
        <c:idx val="165"/>
        <c:marker>
          <c:symbol val="none"/>
        </c:marker>
      </c:pivotFmt>
      <c:pivotFmt>
        <c:idx val="166"/>
        <c:marker>
          <c:symbol val="none"/>
        </c:marker>
      </c:pivotFmt>
      <c:pivotFmt>
        <c:idx val="167"/>
        <c:marker>
          <c:symbol val="none"/>
        </c:marker>
      </c:pivotFmt>
      <c:pivotFmt>
        <c:idx val="168"/>
        <c:marker>
          <c:symbol val="none"/>
        </c:marker>
      </c:pivotFmt>
      <c:pivotFmt>
        <c:idx val="169"/>
        <c:marker>
          <c:symbol val="none"/>
        </c:marker>
      </c:pivotFmt>
      <c:pivotFmt>
        <c:idx val="170"/>
        <c:marker>
          <c:symbol val="none"/>
        </c:marker>
      </c:pivotFmt>
      <c:pivotFmt>
        <c:idx val="171"/>
        <c:marker>
          <c:symbol val="none"/>
        </c:marker>
      </c:pivotFmt>
      <c:pivotFmt>
        <c:idx val="172"/>
        <c:marker>
          <c:symbol val="none"/>
        </c:marker>
      </c:pivotFmt>
      <c:pivotFmt>
        <c:idx val="173"/>
        <c:marker>
          <c:symbol val="none"/>
        </c:marker>
      </c:pivotFmt>
      <c:pivotFmt>
        <c:idx val="174"/>
        <c:marker>
          <c:symbol val="none"/>
        </c:marker>
      </c:pivotFmt>
      <c:pivotFmt>
        <c:idx val="175"/>
        <c:marker>
          <c:symbol val="none"/>
        </c:marker>
      </c:pivotFmt>
      <c:pivotFmt>
        <c:idx val="176"/>
        <c:marker>
          <c:symbol val="none"/>
        </c:marker>
      </c:pivotFmt>
      <c:pivotFmt>
        <c:idx val="177"/>
        <c:marker>
          <c:symbol val="none"/>
        </c:marker>
      </c:pivotFmt>
      <c:pivotFmt>
        <c:idx val="178"/>
        <c:marker>
          <c:symbol val="none"/>
        </c:marker>
      </c:pivotFmt>
      <c:pivotFmt>
        <c:idx val="179"/>
        <c:marker>
          <c:symbol val="none"/>
        </c:marker>
      </c:pivotFmt>
      <c:pivotFmt>
        <c:idx val="180"/>
        <c:marker>
          <c:symbol val="none"/>
        </c:marker>
      </c:pivotFmt>
      <c:pivotFmt>
        <c:idx val="181"/>
        <c:marker>
          <c:symbol val="none"/>
        </c:marker>
      </c:pivotFmt>
      <c:pivotFmt>
        <c:idx val="182"/>
        <c:marker>
          <c:symbol val="none"/>
        </c:marker>
      </c:pivotFmt>
      <c:pivotFmt>
        <c:idx val="183"/>
        <c:marker>
          <c:symbol val="none"/>
        </c:marker>
      </c:pivotFmt>
      <c:pivotFmt>
        <c:idx val="184"/>
        <c:marker>
          <c:symbol val="none"/>
        </c:marker>
      </c:pivotFmt>
      <c:pivotFmt>
        <c:idx val="185"/>
        <c:marker>
          <c:symbol val="none"/>
        </c:marker>
      </c:pivotFmt>
      <c:pivotFmt>
        <c:idx val="186"/>
        <c:marker>
          <c:symbol val="none"/>
        </c:marker>
      </c:pivotFmt>
      <c:pivotFmt>
        <c:idx val="187"/>
        <c:marker>
          <c:symbol val="none"/>
        </c:marker>
      </c:pivotFmt>
      <c:pivotFmt>
        <c:idx val="188"/>
        <c:marker>
          <c:symbol val="none"/>
        </c:marker>
      </c:pivotFmt>
      <c:pivotFmt>
        <c:idx val="189"/>
        <c:marker>
          <c:symbol val="none"/>
        </c:marker>
      </c:pivotFmt>
      <c:pivotFmt>
        <c:idx val="190"/>
        <c:marker>
          <c:symbol val="none"/>
        </c:marker>
      </c:pivotFmt>
      <c:pivotFmt>
        <c:idx val="191"/>
        <c:marker>
          <c:symbol val="none"/>
        </c:marker>
      </c:pivotFmt>
      <c:pivotFmt>
        <c:idx val="192"/>
        <c:marker>
          <c:symbol val="none"/>
        </c:marker>
      </c:pivotFmt>
      <c:pivotFmt>
        <c:idx val="193"/>
        <c:marker>
          <c:symbol val="none"/>
        </c:marker>
      </c:pivotFmt>
      <c:pivotFmt>
        <c:idx val="194"/>
        <c:marker>
          <c:symbol val="none"/>
        </c:marker>
      </c:pivotFmt>
      <c:pivotFmt>
        <c:idx val="195"/>
        <c:marker>
          <c:symbol val="none"/>
        </c:marker>
      </c:pivotFmt>
      <c:pivotFmt>
        <c:idx val="196"/>
        <c:marker>
          <c:symbol val="none"/>
        </c:marker>
      </c:pivotFmt>
      <c:pivotFmt>
        <c:idx val="197"/>
        <c:marker>
          <c:symbol val="none"/>
        </c:marker>
      </c:pivotFmt>
      <c:pivotFmt>
        <c:idx val="198"/>
        <c:marker>
          <c:symbol val="none"/>
        </c:marker>
      </c:pivotFmt>
      <c:pivotFmt>
        <c:idx val="199"/>
        <c:marker>
          <c:symbol val="none"/>
        </c:marker>
      </c:pivotFmt>
      <c:pivotFmt>
        <c:idx val="200"/>
        <c:marker>
          <c:symbol val="none"/>
        </c:marker>
      </c:pivotFmt>
      <c:pivotFmt>
        <c:idx val="201"/>
        <c:marker>
          <c:symbol val="none"/>
        </c:marker>
      </c:pivotFmt>
      <c:pivotFmt>
        <c:idx val="202"/>
        <c:marker>
          <c:symbol val="none"/>
        </c:marker>
      </c:pivotFmt>
      <c:pivotFmt>
        <c:idx val="203"/>
        <c:marker>
          <c:symbol val="none"/>
        </c:marker>
      </c:pivotFmt>
      <c:pivotFmt>
        <c:idx val="204"/>
        <c:marker>
          <c:symbol val="none"/>
        </c:marker>
      </c:pivotFmt>
      <c:pivotFmt>
        <c:idx val="205"/>
        <c:marker>
          <c:symbol val="none"/>
        </c:marker>
      </c:pivotFmt>
      <c:pivotFmt>
        <c:idx val="206"/>
        <c:marker>
          <c:symbol val="none"/>
        </c:marker>
      </c:pivotFmt>
      <c:pivotFmt>
        <c:idx val="207"/>
        <c:marker>
          <c:symbol val="none"/>
        </c:marker>
      </c:pivotFmt>
      <c:pivotFmt>
        <c:idx val="208"/>
        <c:marker>
          <c:symbol val="none"/>
        </c:marker>
      </c:pivotFmt>
      <c:pivotFmt>
        <c:idx val="209"/>
        <c:marker>
          <c:symbol val="none"/>
        </c:marker>
      </c:pivotFmt>
      <c:pivotFmt>
        <c:idx val="210"/>
        <c:marker>
          <c:symbol val="none"/>
        </c:marker>
      </c:pivotFmt>
      <c:pivotFmt>
        <c:idx val="211"/>
        <c:marker>
          <c:symbol val="none"/>
        </c:marker>
      </c:pivotFmt>
      <c:pivotFmt>
        <c:idx val="212"/>
        <c:marker>
          <c:symbol val="none"/>
        </c:marker>
      </c:pivotFmt>
      <c:pivotFmt>
        <c:idx val="213"/>
        <c:marker>
          <c:symbol val="none"/>
        </c:marker>
      </c:pivotFmt>
      <c:pivotFmt>
        <c:idx val="214"/>
        <c:marker>
          <c:symbol val="none"/>
        </c:marker>
      </c:pivotFmt>
      <c:pivotFmt>
        <c:idx val="215"/>
        <c:marker>
          <c:symbol val="none"/>
        </c:marker>
      </c:pivotFmt>
      <c:pivotFmt>
        <c:idx val="216"/>
        <c:marker>
          <c:symbol val="none"/>
        </c:marker>
      </c:pivotFmt>
      <c:pivotFmt>
        <c:idx val="217"/>
        <c:marker>
          <c:symbol val="none"/>
        </c:marker>
      </c:pivotFmt>
      <c:pivotFmt>
        <c:idx val="218"/>
        <c:marker>
          <c:symbol val="none"/>
        </c:marker>
      </c:pivotFmt>
      <c:pivotFmt>
        <c:idx val="219"/>
        <c:marker>
          <c:symbol val="none"/>
        </c:marker>
      </c:pivotFmt>
      <c:pivotFmt>
        <c:idx val="220"/>
        <c:marker>
          <c:symbol val="none"/>
        </c:marker>
      </c:pivotFmt>
      <c:pivotFmt>
        <c:idx val="221"/>
        <c:marker>
          <c:symbol val="none"/>
        </c:marker>
      </c:pivotFmt>
      <c:pivotFmt>
        <c:idx val="222"/>
        <c:marker>
          <c:symbol val="none"/>
        </c:marker>
      </c:pivotFmt>
      <c:pivotFmt>
        <c:idx val="223"/>
        <c:marker>
          <c:symbol val="none"/>
        </c:marker>
      </c:pivotFmt>
      <c:pivotFmt>
        <c:idx val="224"/>
        <c:marker>
          <c:symbol val="none"/>
        </c:marker>
      </c:pivotFmt>
      <c:pivotFmt>
        <c:idx val="225"/>
        <c:marker>
          <c:symbol val="none"/>
        </c:marker>
      </c:pivotFmt>
      <c:pivotFmt>
        <c:idx val="226"/>
        <c:marker>
          <c:symbol val="none"/>
        </c:marker>
      </c:pivotFmt>
      <c:pivotFmt>
        <c:idx val="227"/>
        <c:marker>
          <c:symbol val="none"/>
        </c:marker>
      </c:pivotFmt>
      <c:pivotFmt>
        <c:idx val="228"/>
        <c:marker>
          <c:symbol val="none"/>
        </c:marker>
      </c:pivotFmt>
      <c:pivotFmt>
        <c:idx val="229"/>
        <c:marker>
          <c:symbol val="none"/>
        </c:marker>
      </c:pivotFmt>
      <c:pivotFmt>
        <c:idx val="230"/>
        <c:marker>
          <c:symbol val="none"/>
        </c:marker>
      </c:pivotFmt>
      <c:pivotFmt>
        <c:idx val="231"/>
        <c:marker>
          <c:symbol val="none"/>
        </c:marker>
      </c:pivotFmt>
      <c:pivotFmt>
        <c:idx val="232"/>
        <c:marker>
          <c:symbol val="none"/>
        </c:marker>
      </c:pivotFmt>
      <c:pivotFmt>
        <c:idx val="233"/>
        <c:marker>
          <c:symbol val="none"/>
        </c:marker>
      </c:pivotFmt>
      <c:pivotFmt>
        <c:idx val="234"/>
        <c:marker>
          <c:symbol val="none"/>
        </c:marker>
      </c:pivotFmt>
      <c:pivotFmt>
        <c:idx val="235"/>
        <c:marker>
          <c:symbol val="none"/>
        </c:marker>
      </c:pivotFmt>
      <c:pivotFmt>
        <c:idx val="236"/>
        <c:marker>
          <c:symbol val="none"/>
        </c:marker>
      </c:pivotFmt>
      <c:pivotFmt>
        <c:idx val="237"/>
        <c:marker>
          <c:symbol val="none"/>
        </c:marker>
      </c:pivotFmt>
      <c:pivotFmt>
        <c:idx val="238"/>
        <c:marker>
          <c:symbol val="none"/>
        </c:marker>
      </c:pivotFmt>
      <c:pivotFmt>
        <c:idx val="239"/>
        <c:marker>
          <c:symbol val="none"/>
        </c:marker>
      </c:pivotFmt>
      <c:pivotFmt>
        <c:idx val="240"/>
        <c:marker>
          <c:symbol val="none"/>
        </c:marker>
      </c:pivotFmt>
      <c:pivotFmt>
        <c:idx val="241"/>
        <c:marker>
          <c:symbol val="none"/>
        </c:marker>
      </c:pivotFmt>
      <c:pivotFmt>
        <c:idx val="242"/>
        <c:marker>
          <c:symbol val="none"/>
        </c:marker>
      </c:pivotFmt>
      <c:pivotFmt>
        <c:idx val="243"/>
        <c:marker>
          <c:symbol val="none"/>
        </c:marker>
      </c:pivotFmt>
      <c:pivotFmt>
        <c:idx val="244"/>
        <c:marker>
          <c:symbol val="none"/>
        </c:marker>
      </c:pivotFmt>
      <c:pivotFmt>
        <c:idx val="245"/>
        <c:marker>
          <c:symbol val="none"/>
        </c:marker>
      </c:pivotFmt>
      <c:pivotFmt>
        <c:idx val="246"/>
        <c:marker>
          <c:symbol val="none"/>
        </c:marker>
      </c:pivotFmt>
      <c:pivotFmt>
        <c:idx val="247"/>
        <c:marker>
          <c:symbol val="none"/>
        </c:marker>
      </c:pivotFmt>
      <c:pivotFmt>
        <c:idx val="248"/>
        <c:marker>
          <c:symbol val="none"/>
        </c:marker>
      </c:pivotFmt>
      <c:pivotFmt>
        <c:idx val="249"/>
        <c:marker>
          <c:symbol val="none"/>
        </c:marker>
      </c:pivotFmt>
      <c:pivotFmt>
        <c:idx val="250"/>
        <c:marker>
          <c:symbol val="none"/>
        </c:marker>
      </c:pivotFmt>
      <c:pivotFmt>
        <c:idx val="251"/>
        <c:marker>
          <c:symbol val="none"/>
        </c:marker>
      </c:pivotFmt>
      <c:pivotFmt>
        <c:idx val="252"/>
        <c:marker>
          <c:symbol val="none"/>
        </c:marker>
      </c:pivotFmt>
      <c:pivotFmt>
        <c:idx val="253"/>
        <c:marker>
          <c:symbol val="none"/>
        </c:marker>
      </c:pivotFmt>
      <c:pivotFmt>
        <c:idx val="254"/>
        <c:marker>
          <c:symbol val="none"/>
        </c:marker>
      </c:pivotFmt>
      <c:pivotFmt>
        <c:idx val="255"/>
        <c:marker>
          <c:symbol val="none"/>
        </c:marker>
      </c:pivotFmt>
      <c:pivotFmt>
        <c:idx val="256"/>
        <c:marker>
          <c:symbol val="none"/>
        </c:marker>
      </c:pivotFmt>
      <c:pivotFmt>
        <c:idx val="257"/>
        <c:marker>
          <c:symbol val="none"/>
        </c:marker>
      </c:pivotFmt>
      <c:pivotFmt>
        <c:idx val="258"/>
        <c:marker>
          <c:symbol val="none"/>
        </c:marker>
      </c:pivotFmt>
      <c:pivotFmt>
        <c:idx val="259"/>
        <c:marker>
          <c:symbol val="none"/>
        </c:marker>
      </c:pivotFmt>
      <c:pivotFmt>
        <c:idx val="260"/>
        <c:marker>
          <c:symbol val="none"/>
        </c:marker>
      </c:pivotFmt>
      <c:pivotFmt>
        <c:idx val="261"/>
        <c:marker>
          <c:symbol val="none"/>
        </c:marker>
      </c:pivotFmt>
      <c:pivotFmt>
        <c:idx val="262"/>
        <c:marker>
          <c:symbol val="none"/>
        </c:marker>
      </c:pivotFmt>
      <c:pivotFmt>
        <c:idx val="263"/>
        <c:marker>
          <c:symbol val="none"/>
        </c:marker>
      </c:pivotFmt>
      <c:pivotFmt>
        <c:idx val="264"/>
        <c:marker>
          <c:symbol val="none"/>
        </c:marker>
      </c:pivotFmt>
      <c:pivotFmt>
        <c:idx val="265"/>
        <c:marker>
          <c:symbol val="none"/>
        </c:marker>
      </c:pivotFmt>
      <c:pivotFmt>
        <c:idx val="266"/>
        <c:marker>
          <c:symbol val="none"/>
        </c:marker>
      </c:pivotFmt>
      <c:pivotFmt>
        <c:idx val="267"/>
        <c:marker>
          <c:symbol val="none"/>
        </c:marker>
      </c:pivotFmt>
      <c:pivotFmt>
        <c:idx val="268"/>
        <c:marker>
          <c:symbol val="none"/>
        </c:marker>
      </c:pivotFmt>
      <c:pivotFmt>
        <c:idx val="269"/>
        <c:marker>
          <c:symbol val="none"/>
        </c:marker>
      </c:pivotFmt>
      <c:pivotFmt>
        <c:idx val="270"/>
        <c:marker>
          <c:symbol val="none"/>
        </c:marker>
      </c:pivotFmt>
      <c:pivotFmt>
        <c:idx val="271"/>
        <c:marker>
          <c:symbol val="none"/>
        </c:marker>
      </c:pivotFmt>
      <c:pivotFmt>
        <c:idx val="272"/>
        <c:marker>
          <c:symbol val="none"/>
        </c:marker>
      </c:pivotFmt>
      <c:pivotFmt>
        <c:idx val="273"/>
        <c:marker>
          <c:symbol val="none"/>
        </c:marker>
      </c:pivotFmt>
      <c:pivotFmt>
        <c:idx val="274"/>
        <c:marker>
          <c:symbol val="none"/>
        </c:marker>
      </c:pivotFmt>
      <c:pivotFmt>
        <c:idx val="275"/>
        <c:marker>
          <c:symbol val="none"/>
        </c:marker>
      </c:pivotFmt>
      <c:pivotFmt>
        <c:idx val="276"/>
        <c:marker>
          <c:symbol val="none"/>
        </c:marker>
      </c:pivotFmt>
      <c:pivotFmt>
        <c:idx val="277"/>
        <c:marker>
          <c:symbol val="none"/>
        </c:marker>
      </c:pivotFmt>
      <c:pivotFmt>
        <c:idx val="278"/>
        <c:marker>
          <c:symbol val="none"/>
        </c:marker>
      </c:pivotFmt>
      <c:pivotFmt>
        <c:idx val="279"/>
        <c:marker>
          <c:symbol val="none"/>
        </c:marker>
      </c:pivotFmt>
      <c:pivotFmt>
        <c:idx val="280"/>
        <c:marker>
          <c:symbol val="none"/>
        </c:marker>
      </c:pivotFmt>
      <c:pivotFmt>
        <c:idx val="281"/>
        <c:marker>
          <c:symbol val="none"/>
        </c:marker>
      </c:pivotFmt>
      <c:pivotFmt>
        <c:idx val="282"/>
        <c:marker>
          <c:symbol val="none"/>
        </c:marker>
      </c:pivotFmt>
      <c:pivotFmt>
        <c:idx val="283"/>
        <c:marker>
          <c:symbol val="none"/>
        </c:marker>
      </c:pivotFmt>
      <c:pivotFmt>
        <c:idx val="284"/>
        <c:marker>
          <c:symbol val="none"/>
        </c:marker>
      </c:pivotFmt>
      <c:pivotFmt>
        <c:idx val="285"/>
        <c:marker>
          <c:symbol val="none"/>
        </c:marker>
      </c:pivotFmt>
      <c:pivotFmt>
        <c:idx val="286"/>
        <c:marker>
          <c:symbol val="none"/>
        </c:marker>
      </c:pivotFmt>
      <c:pivotFmt>
        <c:idx val="287"/>
        <c:marker>
          <c:symbol val="none"/>
        </c:marker>
      </c:pivotFmt>
      <c:pivotFmt>
        <c:idx val="288"/>
        <c:marker>
          <c:symbol val="none"/>
        </c:marker>
      </c:pivotFmt>
      <c:pivotFmt>
        <c:idx val="289"/>
        <c:marker>
          <c:symbol val="none"/>
        </c:marker>
      </c:pivotFmt>
      <c:pivotFmt>
        <c:idx val="290"/>
        <c:marker>
          <c:symbol val="none"/>
        </c:marker>
      </c:pivotFmt>
      <c:pivotFmt>
        <c:idx val="291"/>
        <c:marker>
          <c:symbol val="none"/>
        </c:marker>
      </c:pivotFmt>
      <c:pivotFmt>
        <c:idx val="292"/>
        <c:marker>
          <c:symbol val="none"/>
        </c:marker>
      </c:pivotFmt>
      <c:pivotFmt>
        <c:idx val="293"/>
        <c:marker>
          <c:symbol val="none"/>
        </c:marker>
      </c:pivotFmt>
      <c:pivotFmt>
        <c:idx val="294"/>
        <c:marker>
          <c:symbol val="none"/>
        </c:marker>
      </c:pivotFmt>
      <c:pivotFmt>
        <c:idx val="295"/>
        <c:marker>
          <c:symbol val="none"/>
        </c:marker>
      </c:pivotFmt>
      <c:pivotFmt>
        <c:idx val="296"/>
        <c:marker>
          <c:symbol val="none"/>
        </c:marker>
      </c:pivotFmt>
      <c:pivotFmt>
        <c:idx val="297"/>
        <c:marker>
          <c:symbol val="none"/>
        </c:marker>
      </c:pivotFmt>
      <c:pivotFmt>
        <c:idx val="298"/>
        <c:marker>
          <c:symbol val="none"/>
        </c:marker>
      </c:pivotFmt>
      <c:pivotFmt>
        <c:idx val="299"/>
        <c:marker>
          <c:symbol val="none"/>
        </c:marker>
      </c:pivotFmt>
      <c:pivotFmt>
        <c:idx val="300"/>
        <c:marker>
          <c:symbol val="none"/>
        </c:marker>
      </c:pivotFmt>
      <c:pivotFmt>
        <c:idx val="301"/>
        <c:marker>
          <c:symbol val="none"/>
        </c:marker>
      </c:pivotFmt>
      <c:pivotFmt>
        <c:idx val="302"/>
        <c:marker>
          <c:symbol val="none"/>
        </c:marker>
      </c:pivotFmt>
      <c:pivotFmt>
        <c:idx val="303"/>
        <c:marker>
          <c:symbol val="none"/>
        </c:marker>
      </c:pivotFmt>
      <c:pivotFmt>
        <c:idx val="304"/>
        <c:marker>
          <c:symbol val="none"/>
        </c:marker>
      </c:pivotFmt>
      <c:pivotFmt>
        <c:idx val="305"/>
        <c:marker>
          <c:symbol val="none"/>
        </c:marker>
      </c:pivotFmt>
      <c:pivotFmt>
        <c:idx val="306"/>
        <c:marker>
          <c:symbol val="none"/>
        </c:marker>
      </c:pivotFmt>
      <c:pivotFmt>
        <c:idx val="307"/>
        <c:marker>
          <c:symbol val="none"/>
        </c:marker>
      </c:pivotFmt>
      <c:pivotFmt>
        <c:idx val="308"/>
        <c:marker>
          <c:symbol val="none"/>
        </c:marker>
      </c:pivotFmt>
      <c:pivotFmt>
        <c:idx val="309"/>
        <c:marker>
          <c:symbol val="none"/>
        </c:marker>
      </c:pivotFmt>
      <c:pivotFmt>
        <c:idx val="310"/>
        <c:marker>
          <c:symbol val="none"/>
        </c:marker>
      </c:pivotFmt>
      <c:pivotFmt>
        <c:idx val="311"/>
        <c:marker>
          <c:symbol val="none"/>
        </c:marker>
      </c:pivotFmt>
      <c:pivotFmt>
        <c:idx val="312"/>
        <c:marker>
          <c:symbol val="none"/>
        </c:marker>
      </c:pivotFmt>
      <c:pivotFmt>
        <c:idx val="313"/>
        <c:marker>
          <c:symbol val="none"/>
        </c:marker>
      </c:pivotFmt>
      <c:pivotFmt>
        <c:idx val="314"/>
        <c:marker>
          <c:symbol val="none"/>
        </c:marker>
      </c:pivotFmt>
      <c:pivotFmt>
        <c:idx val="315"/>
        <c:marker>
          <c:symbol val="none"/>
        </c:marker>
      </c:pivotFmt>
      <c:pivotFmt>
        <c:idx val="316"/>
        <c:marker>
          <c:symbol val="none"/>
        </c:marker>
      </c:pivotFmt>
      <c:pivotFmt>
        <c:idx val="317"/>
        <c:marker>
          <c:symbol val="none"/>
        </c:marker>
      </c:pivotFmt>
      <c:pivotFmt>
        <c:idx val="318"/>
        <c:marker>
          <c:symbol val="none"/>
        </c:marker>
      </c:pivotFmt>
      <c:pivotFmt>
        <c:idx val="319"/>
        <c:marker>
          <c:symbol val="none"/>
        </c:marker>
      </c:pivotFmt>
      <c:pivotFmt>
        <c:idx val="320"/>
        <c:marker>
          <c:symbol val="none"/>
        </c:marker>
      </c:pivotFmt>
      <c:pivotFmt>
        <c:idx val="321"/>
        <c:marker>
          <c:symbol val="none"/>
        </c:marker>
      </c:pivotFmt>
      <c:pivotFmt>
        <c:idx val="322"/>
        <c:marker>
          <c:symbol val="none"/>
        </c:marker>
      </c:pivotFmt>
      <c:pivotFmt>
        <c:idx val="323"/>
        <c:marker>
          <c:symbol val="none"/>
        </c:marker>
      </c:pivotFmt>
      <c:pivotFmt>
        <c:idx val="324"/>
        <c:marker>
          <c:symbol val="none"/>
        </c:marker>
      </c:pivotFmt>
      <c:pivotFmt>
        <c:idx val="325"/>
        <c:marker>
          <c:symbol val="none"/>
        </c:marker>
      </c:pivotFmt>
      <c:pivotFmt>
        <c:idx val="326"/>
        <c:marker>
          <c:symbol val="none"/>
        </c:marker>
      </c:pivotFmt>
      <c:pivotFmt>
        <c:idx val="327"/>
        <c:marker>
          <c:symbol val="none"/>
        </c:marker>
      </c:pivotFmt>
      <c:pivotFmt>
        <c:idx val="328"/>
        <c:marker>
          <c:symbol val="none"/>
        </c:marker>
      </c:pivotFmt>
      <c:pivotFmt>
        <c:idx val="329"/>
        <c:marker>
          <c:symbol val="none"/>
        </c:marker>
      </c:pivotFmt>
      <c:pivotFmt>
        <c:idx val="330"/>
        <c:marker>
          <c:symbol val="none"/>
        </c:marker>
      </c:pivotFmt>
      <c:pivotFmt>
        <c:idx val="331"/>
        <c:marker>
          <c:symbol val="none"/>
        </c:marker>
      </c:pivotFmt>
      <c:pivotFmt>
        <c:idx val="332"/>
        <c:marker>
          <c:symbol val="none"/>
        </c:marker>
      </c:pivotFmt>
      <c:pivotFmt>
        <c:idx val="333"/>
        <c:marker>
          <c:symbol val="none"/>
        </c:marker>
      </c:pivotFmt>
      <c:pivotFmt>
        <c:idx val="334"/>
        <c:marker>
          <c:symbol val="none"/>
        </c:marker>
      </c:pivotFmt>
      <c:pivotFmt>
        <c:idx val="335"/>
        <c:marker>
          <c:symbol val="none"/>
        </c:marker>
      </c:pivotFmt>
      <c:pivotFmt>
        <c:idx val="336"/>
        <c:marker>
          <c:symbol val="none"/>
        </c:marker>
      </c:pivotFmt>
      <c:pivotFmt>
        <c:idx val="337"/>
        <c:marker>
          <c:symbol val="none"/>
        </c:marker>
      </c:pivotFmt>
      <c:pivotFmt>
        <c:idx val="338"/>
        <c:marker>
          <c:symbol val="none"/>
        </c:marker>
      </c:pivotFmt>
      <c:pivotFmt>
        <c:idx val="339"/>
        <c:marker>
          <c:symbol val="none"/>
        </c:marker>
      </c:pivotFmt>
      <c:pivotFmt>
        <c:idx val="340"/>
        <c:marker>
          <c:symbol val="none"/>
        </c:marker>
      </c:pivotFmt>
      <c:pivotFmt>
        <c:idx val="341"/>
        <c:marker>
          <c:symbol val="none"/>
        </c:marker>
      </c:pivotFmt>
      <c:pivotFmt>
        <c:idx val="342"/>
        <c:marker>
          <c:symbol val="none"/>
        </c:marker>
      </c:pivotFmt>
      <c:pivotFmt>
        <c:idx val="343"/>
        <c:marker>
          <c:symbol val="none"/>
        </c:marker>
      </c:pivotFmt>
      <c:pivotFmt>
        <c:idx val="344"/>
        <c:marker>
          <c:symbol val="none"/>
        </c:marker>
      </c:pivotFmt>
      <c:pivotFmt>
        <c:idx val="345"/>
        <c:marker>
          <c:symbol val="none"/>
        </c:marker>
      </c:pivotFmt>
      <c:pivotFmt>
        <c:idx val="346"/>
        <c:marker>
          <c:symbol val="none"/>
        </c:marker>
      </c:pivotFmt>
      <c:pivotFmt>
        <c:idx val="347"/>
        <c:marker>
          <c:symbol val="none"/>
        </c:marker>
      </c:pivotFmt>
      <c:pivotFmt>
        <c:idx val="348"/>
        <c:marker>
          <c:symbol val="none"/>
        </c:marker>
      </c:pivotFmt>
      <c:pivotFmt>
        <c:idx val="349"/>
        <c:marker>
          <c:symbol val="none"/>
        </c:marker>
      </c:pivotFmt>
      <c:pivotFmt>
        <c:idx val="350"/>
        <c:marker>
          <c:symbol val="none"/>
        </c:marker>
      </c:pivotFmt>
      <c:pivotFmt>
        <c:idx val="351"/>
        <c:marker>
          <c:symbol val="none"/>
        </c:marker>
      </c:pivotFmt>
      <c:pivotFmt>
        <c:idx val="352"/>
        <c:marker>
          <c:symbol val="none"/>
        </c:marker>
      </c:pivotFmt>
      <c:pivotFmt>
        <c:idx val="353"/>
        <c:marker>
          <c:symbol val="none"/>
        </c:marker>
      </c:pivotFmt>
      <c:pivotFmt>
        <c:idx val="354"/>
        <c:marker>
          <c:symbol val="none"/>
        </c:marker>
      </c:pivotFmt>
      <c:pivotFmt>
        <c:idx val="355"/>
        <c:marker>
          <c:symbol val="none"/>
        </c:marker>
      </c:pivotFmt>
      <c:pivotFmt>
        <c:idx val="356"/>
        <c:marker>
          <c:symbol val="none"/>
        </c:marker>
      </c:pivotFmt>
      <c:pivotFmt>
        <c:idx val="357"/>
        <c:marker>
          <c:symbol val="none"/>
        </c:marker>
      </c:pivotFmt>
      <c:pivotFmt>
        <c:idx val="358"/>
        <c:marker>
          <c:symbol val="none"/>
        </c:marker>
      </c:pivotFmt>
      <c:pivotFmt>
        <c:idx val="359"/>
        <c:marker>
          <c:symbol val="none"/>
        </c:marker>
      </c:pivotFmt>
      <c:pivotFmt>
        <c:idx val="360"/>
        <c:marker>
          <c:symbol val="none"/>
        </c:marker>
      </c:pivotFmt>
      <c:pivotFmt>
        <c:idx val="361"/>
        <c:marker>
          <c:symbol val="none"/>
        </c:marker>
      </c:pivotFmt>
      <c:pivotFmt>
        <c:idx val="362"/>
        <c:marker>
          <c:symbol val="none"/>
        </c:marker>
      </c:pivotFmt>
      <c:pivotFmt>
        <c:idx val="363"/>
        <c:marker>
          <c:symbol val="none"/>
        </c:marker>
      </c:pivotFmt>
      <c:pivotFmt>
        <c:idx val="364"/>
        <c:marker>
          <c:symbol val="none"/>
        </c:marker>
      </c:pivotFmt>
      <c:pivotFmt>
        <c:idx val="365"/>
        <c:marker>
          <c:symbol val="none"/>
        </c:marker>
      </c:pivotFmt>
      <c:pivotFmt>
        <c:idx val="366"/>
        <c:marker>
          <c:symbol val="none"/>
        </c:marker>
      </c:pivotFmt>
      <c:pivotFmt>
        <c:idx val="367"/>
        <c:marker>
          <c:symbol val="none"/>
        </c:marker>
      </c:pivotFmt>
      <c:pivotFmt>
        <c:idx val="368"/>
        <c:marker>
          <c:symbol val="none"/>
        </c:marker>
      </c:pivotFmt>
      <c:pivotFmt>
        <c:idx val="369"/>
        <c:marker>
          <c:symbol val="none"/>
        </c:marker>
      </c:pivotFmt>
      <c:pivotFmt>
        <c:idx val="370"/>
        <c:marker>
          <c:symbol val="none"/>
        </c:marker>
      </c:pivotFmt>
      <c:pivotFmt>
        <c:idx val="371"/>
        <c:marker>
          <c:symbol val="none"/>
        </c:marker>
      </c:pivotFmt>
      <c:pivotFmt>
        <c:idx val="372"/>
        <c:marker>
          <c:symbol val="none"/>
        </c:marker>
      </c:pivotFmt>
      <c:pivotFmt>
        <c:idx val="373"/>
        <c:marker>
          <c:symbol val="none"/>
        </c:marker>
      </c:pivotFmt>
      <c:pivotFmt>
        <c:idx val="374"/>
        <c:marker>
          <c:symbol val="none"/>
        </c:marker>
      </c:pivotFmt>
      <c:pivotFmt>
        <c:idx val="375"/>
        <c:marker>
          <c:symbol val="none"/>
        </c:marker>
      </c:pivotFmt>
      <c:pivotFmt>
        <c:idx val="376"/>
        <c:marker>
          <c:symbol val="none"/>
        </c:marker>
      </c:pivotFmt>
      <c:pivotFmt>
        <c:idx val="377"/>
        <c:marker>
          <c:symbol val="none"/>
        </c:marker>
      </c:pivotFmt>
      <c:pivotFmt>
        <c:idx val="378"/>
        <c:marker>
          <c:symbol val="none"/>
        </c:marker>
      </c:pivotFmt>
      <c:pivotFmt>
        <c:idx val="379"/>
        <c:marker>
          <c:symbol val="none"/>
        </c:marker>
      </c:pivotFmt>
      <c:pivotFmt>
        <c:idx val="380"/>
        <c:marker>
          <c:symbol val="none"/>
        </c:marker>
      </c:pivotFmt>
      <c:pivotFmt>
        <c:idx val="381"/>
        <c:marker>
          <c:symbol val="none"/>
        </c:marker>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82"/>
        <c:marker>
          <c:symbol val="none"/>
        </c:marker>
      </c:pivotFmt>
      <c:pivotFmt>
        <c:idx val="383"/>
        <c:marker>
          <c:symbol val="none"/>
        </c:marker>
      </c:pivotFmt>
      <c:pivotFmt>
        <c:idx val="384"/>
        <c:marker>
          <c:symbol val="none"/>
        </c:marker>
      </c:pivotFmt>
      <c:pivotFmt>
        <c:idx val="385"/>
        <c:marker>
          <c:symbol val="none"/>
        </c:marker>
      </c:pivotFmt>
      <c:pivotFmt>
        <c:idx val="386"/>
        <c:marker>
          <c:symbol val="none"/>
        </c:marker>
      </c:pivotFmt>
      <c:pivotFmt>
        <c:idx val="387"/>
        <c:marker>
          <c:symbol val="none"/>
        </c:marker>
      </c:pivotFmt>
      <c:pivotFmt>
        <c:idx val="388"/>
        <c:marker>
          <c:symbol val="none"/>
        </c:marker>
      </c:pivotFmt>
      <c:pivotFmt>
        <c:idx val="389"/>
        <c:marker>
          <c:symbol val="none"/>
        </c:marker>
      </c:pivotFmt>
      <c:pivotFmt>
        <c:idx val="390"/>
        <c:marker>
          <c:symbol val="none"/>
        </c:marker>
      </c:pivotFmt>
      <c:pivotFmt>
        <c:idx val="391"/>
        <c:marker>
          <c:symbol val="none"/>
        </c:marker>
      </c:pivotFmt>
      <c:pivotFmt>
        <c:idx val="392"/>
        <c:marker>
          <c:symbol val="none"/>
        </c:marker>
        <c:dLbl>
          <c:idx val="0"/>
          <c:delete val="1"/>
          <c:extLst>
            <c:ext xmlns:c15="http://schemas.microsoft.com/office/drawing/2012/chart" uri="{CE6537A1-D6FC-4f65-9D91-7224C49458BB}"/>
          </c:extLst>
        </c:dLbl>
      </c:pivotFmt>
      <c:pivotFmt>
        <c:idx val="393"/>
        <c:marker>
          <c:symbol val="none"/>
        </c:marker>
      </c:pivotFmt>
      <c:pivotFmt>
        <c:idx val="394"/>
        <c:marker>
          <c:symbol val="none"/>
        </c:marker>
        <c:dLbl>
          <c:idx val="0"/>
          <c:delete val="1"/>
          <c:extLst>
            <c:ext xmlns:c15="http://schemas.microsoft.com/office/drawing/2012/chart" uri="{CE6537A1-D6FC-4f65-9D91-7224C49458BB}"/>
          </c:extLst>
        </c:dLbl>
      </c:pivotFmt>
      <c:pivotFmt>
        <c:idx val="395"/>
        <c:marker>
          <c:symbol val="none"/>
        </c:marker>
      </c:pivotFmt>
      <c:pivotFmt>
        <c:idx val="396"/>
        <c:marker>
          <c:symbol val="none"/>
        </c:marker>
        <c:dLbl>
          <c:idx val="0"/>
          <c:delete val="1"/>
          <c:extLst>
            <c:ext xmlns:c15="http://schemas.microsoft.com/office/drawing/2012/chart" uri="{CE6537A1-D6FC-4f65-9D91-7224C49458BB}"/>
          </c:extLst>
        </c:dLbl>
      </c:pivotFmt>
      <c:pivotFmt>
        <c:idx val="397"/>
        <c:marker>
          <c:symbol val="none"/>
        </c:marker>
      </c:pivotFmt>
      <c:pivotFmt>
        <c:idx val="398"/>
        <c:marker>
          <c:symbol val="none"/>
        </c:marker>
        <c:dLbl>
          <c:idx val="0"/>
          <c:delete val="1"/>
          <c:extLst>
            <c:ext xmlns:c15="http://schemas.microsoft.com/office/drawing/2012/chart" uri="{CE6537A1-D6FC-4f65-9D91-7224C49458BB}"/>
          </c:extLst>
        </c:dLbl>
      </c:pivotFmt>
      <c:pivotFmt>
        <c:idx val="399"/>
        <c:marker>
          <c:symbol val="none"/>
        </c:marker>
      </c:pivotFmt>
      <c:pivotFmt>
        <c:idx val="400"/>
        <c:marker>
          <c:symbol val="none"/>
        </c:marker>
      </c:pivotFmt>
      <c:pivotFmt>
        <c:idx val="401"/>
        <c:marker>
          <c:symbol val="none"/>
        </c:marker>
      </c:pivotFmt>
      <c:pivotFmt>
        <c:idx val="402"/>
        <c:marker>
          <c:symbol val="none"/>
        </c:marker>
      </c:pivotFmt>
      <c:pivotFmt>
        <c:idx val="403"/>
        <c:marker>
          <c:symbol val="none"/>
        </c:marker>
      </c:pivotFmt>
      <c:pivotFmt>
        <c:idx val="404"/>
        <c:marker>
          <c:symbol val="none"/>
        </c:marker>
      </c:pivotFmt>
      <c:pivotFmt>
        <c:idx val="405"/>
        <c:marker>
          <c:symbol val="none"/>
        </c:marker>
      </c:pivotFmt>
      <c:pivotFmt>
        <c:idx val="406"/>
        <c:marker>
          <c:symbol val="none"/>
        </c:marker>
      </c:pivotFmt>
      <c:pivotFmt>
        <c:idx val="407"/>
        <c:marker>
          <c:symbol val="none"/>
        </c:marker>
      </c:pivotFmt>
      <c:pivotFmt>
        <c:idx val="408"/>
        <c:marker>
          <c:symbol val="none"/>
        </c:marker>
      </c:pivotFmt>
      <c:pivotFmt>
        <c:idx val="409"/>
        <c:marker>
          <c:symbol val="none"/>
        </c:marker>
      </c:pivotFmt>
      <c:pivotFmt>
        <c:idx val="410"/>
        <c:marker>
          <c:symbol val="none"/>
        </c:marker>
      </c:pivotFmt>
      <c:pivotFmt>
        <c:idx val="411"/>
        <c:marker>
          <c:symbol val="none"/>
        </c:marker>
      </c:pivotFmt>
      <c:pivotFmt>
        <c:idx val="412"/>
        <c:marker>
          <c:symbol val="none"/>
        </c:marker>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13"/>
        <c:marker>
          <c:symbol val="none"/>
        </c:marker>
      </c:pivotFmt>
      <c:pivotFmt>
        <c:idx val="414"/>
        <c:marker>
          <c:symbol val="none"/>
        </c:marker>
      </c:pivotFmt>
      <c:pivotFmt>
        <c:idx val="415"/>
        <c:marker>
          <c:symbol val="none"/>
        </c:marker>
      </c:pivotFmt>
      <c:pivotFmt>
        <c:idx val="416"/>
        <c:marker>
          <c:symbol val="none"/>
        </c:marker>
      </c:pivotFmt>
      <c:pivotFmt>
        <c:idx val="417"/>
        <c:marker>
          <c:symbol val="none"/>
        </c:marker>
      </c:pivotFmt>
      <c:pivotFmt>
        <c:idx val="418"/>
        <c:marker>
          <c:symbol val="none"/>
        </c:marker>
      </c:pivotFmt>
      <c:pivotFmt>
        <c:idx val="419"/>
        <c:marker>
          <c:symbol val="none"/>
        </c:marker>
      </c:pivotFmt>
      <c:pivotFmt>
        <c:idx val="420"/>
        <c:marker>
          <c:symbol val="none"/>
        </c:marker>
      </c:pivotFmt>
      <c:pivotFmt>
        <c:idx val="421"/>
        <c:marker>
          <c:symbol val="none"/>
        </c:marker>
      </c:pivotFmt>
      <c:pivotFmt>
        <c:idx val="422"/>
        <c:marker>
          <c:symbol val="none"/>
        </c:marker>
      </c:pivotFmt>
      <c:pivotFmt>
        <c:idx val="423"/>
        <c:marker>
          <c:symbol val="none"/>
        </c:marker>
      </c:pivotFmt>
      <c:pivotFmt>
        <c:idx val="424"/>
        <c:marker>
          <c:symbol val="none"/>
        </c:marker>
      </c:pivotFmt>
      <c:pivotFmt>
        <c:idx val="425"/>
        <c:marker>
          <c:symbol val="none"/>
        </c:marker>
      </c:pivotFmt>
      <c:pivotFmt>
        <c:idx val="426"/>
        <c:marker>
          <c:symbol val="none"/>
        </c:marker>
      </c:pivotFmt>
      <c:pivotFmt>
        <c:idx val="427"/>
        <c:marker>
          <c:symbol val="none"/>
        </c:marker>
      </c:pivotFmt>
      <c:pivotFmt>
        <c:idx val="428"/>
        <c:marker>
          <c:symbol val="none"/>
        </c:marker>
      </c:pivotFmt>
      <c:pivotFmt>
        <c:idx val="429"/>
        <c:marker>
          <c:symbol val="none"/>
        </c:marker>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30"/>
        <c:marker>
          <c:symbol val="none"/>
        </c:marker>
      </c:pivotFmt>
      <c:pivotFmt>
        <c:idx val="431"/>
        <c:marker>
          <c:symbol val="none"/>
        </c:marker>
      </c:pivotFmt>
      <c:pivotFmt>
        <c:idx val="432"/>
        <c:marker>
          <c:symbol val="none"/>
        </c:marker>
      </c:pivotFmt>
      <c:pivotFmt>
        <c:idx val="433"/>
        <c:marker>
          <c:symbol val="none"/>
        </c:marker>
      </c:pivotFmt>
      <c:pivotFmt>
        <c:idx val="434"/>
        <c:marker>
          <c:symbol val="none"/>
        </c:marker>
      </c:pivotFmt>
      <c:pivotFmt>
        <c:idx val="435"/>
        <c:marker>
          <c:symbol val="none"/>
        </c:marker>
      </c:pivotFmt>
      <c:pivotFmt>
        <c:idx val="436"/>
        <c:marker>
          <c:symbol val="none"/>
        </c:marker>
      </c:pivotFmt>
      <c:pivotFmt>
        <c:idx val="437"/>
        <c:marker>
          <c:symbol val="none"/>
        </c:marker>
      </c:pivotFmt>
      <c:pivotFmt>
        <c:idx val="438"/>
        <c:marker>
          <c:symbol val="none"/>
        </c:marker>
      </c:pivotFmt>
      <c:pivotFmt>
        <c:idx val="439"/>
        <c:marker>
          <c:symbol val="none"/>
        </c:marker>
      </c:pivotFmt>
      <c:pivotFmt>
        <c:idx val="440"/>
        <c:marker>
          <c:symbol val="none"/>
        </c:marker>
      </c:pivotFmt>
      <c:pivotFmt>
        <c:idx val="441"/>
        <c:marker>
          <c:symbol val="none"/>
        </c:marker>
      </c:pivotFmt>
      <c:pivotFmt>
        <c:idx val="442"/>
        <c:marker>
          <c:symbol val="none"/>
        </c:marker>
      </c:pivotFmt>
      <c:pivotFmt>
        <c:idx val="443"/>
        <c:marker>
          <c:symbol val="none"/>
        </c:marker>
      </c:pivotFmt>
      <c:pivotFmt>
        <c:idx val="444"/>
        <c:marker>
          <c:symbol val="none"/>
        </c:marker>
      </c:pivotFmt>
      <c:pivotFmt>
        <c:idx val="445"/>
        <c:marker>
          <c:symbol val="none"/>
        </c:marker>
      </c:pivotFmt>
      <c:pivotFmt>
        <c:idx val="446"/>
        <c:marker>
          <c:symbol val="none"/>
        </c:marker>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'comparators (5)'!$B$37:$B$39</c:f>
              <c:strCache>
                <c:ptCount val="1"/>
                <c:pt idx="0">
                  <c:v>2017-18 - APRIL</c:v>
                </c:pt>
              </c:strCache>
            </c:strRef>
          </c:tx>
          <c:invertIfNegative val="0"/>
          <c:cat>
            <c:strRef>
              <c:f>'comparators (5)'!$A$40:$A$46</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(5)'!$B$40:$B$46</c:f>
              <c:numCache>
                <c:formatCode>General</c:formatCode>
                <c:ptCount val="6"/>
                <c:pt idx="0">
                  <c:v>8</c:v>
                </c:pt>
                <c:pt idx="1">
                  <c:v>0</c:v>
                </c:pt>
                <c:pt idx="2">
                  <c:v>43</c:v>
                </c:pt>
                <c:pt idx="3">
                  <c:v>147</c:v>
                </c:pt>
                <c:pt idx="4">
                  <c:v>0</c:v>
                </c:pt>
                <c:pt idx="5">
                  <c:v>0</c:v>
                </c:pt>
              </c:numCache>
            </c:numRef>
          </c:val>
        </c:ser>
        <c:ser>
          <c:idx val="1"/>
          <c:order val="1"/>
          <c:tx>
            <c:strRef>
              <c:f>'comparators (5)'!$C$37:$C$39</c:f>
              <c:strCache>
                <c:ptCount val="1"/>
                <c:pt idx="0">
                  <c:v>2017-18 - MAY</c:v>
                </c:pt>
              </c:strCache>
            </c:strRef>
          </c:tx>
          <c:invertIfNegative val="0"/>
          <c:cat>
            <c:strRef>
              <c:f>'comparators (5)'!$A$40:$A$46</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(5)'!$C$40:$C$46</c:f>
              <c:numCache>
                <c:formatCode>General</c:formatCode>
                <c:ptCount val="6"/>
                <c:pt idx="0">
                  <c:v>11</c:v>
                </c:pt>
                <c:pt idx="1">
                  <c:v>8</c:v>
                </c:pt>
                <c:pt idx="2">
                  <c:v>53</c:v>
                </c:pt>
                <c:pt idx="3">
                  <c:v>179</c:v>
                </c:pt>
                <c:pt idx="4">
                  <c:v>0</c:v>
                </c:pt>
                <c:pt idx="5">
                  <c:v>11</c:v>
                </c:pt>
              </c:numCache>
            </c:numRef>
          </c:val>
        </c:ser>
        <c:ser>
          <c:idx val="2"/>
          <c:order val="2"/>
          <c:tx>
            <c:strRef>
              <c:f>'comparators (5)'!$D$37:$D$39</c:f>
              <c:strCache>
                <c:ptCount val="1"/>
                <c:pt idx="0">
                  <c:v>2017-18 - JUNE</c:v>
                </c:pt>
              </c:strCache>
            </c:strRef>
          </c:tx>
          <c:invertIfNegative val="0"/>
          <c:cat>
            <c:strRef>
              <c:f>'comparators (5)'!$A$40:$A$46</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(5)'!$D$40:$D$46</c:f>
              <c:numCache>
                <c:formatCode>General</c:formatCode>
                <c:ptCount val="6"/>
                <c:pt idx="0">
                  <c:v>0</c:v>
                </c:pt>
                <c:pt idx="1">
                  <c:v>4</c:v>
                </c:pt>
                <c:pt idx="2">
                  <c:v>25</c:v>
                </c:pt>
                <c:pt idx="3">
                  <c:v>133</c:v>
                </c:pt>
                <c:pt idx="4">
                  <c:v>0</c:v>
                </c:pt>
                <c:pt idx="5">
                  <c:v>0</c:v>
                </c:pt>
              </c:numCache>
            </c:numRef>
          </c:val>
        </c:ser>
        <c:ser>
          <c:idx val="3"/>
          <c:order val="3"/>
          <c:tx>
            <c:strRef>
              <c:f>'comparators (5)'!$E$37:$E$39</c:f>
              <c:strCache>
                <c:ptCount val="1"/>
                <c:pt idx="0">
                  <c:v>2017-18 - JULY</c:v>
                </c:pt>
              </c:strCache>
            </c:strRef>
          </c:tx>
          <c:invertIfNegative val="0"/>
          <c:cat>
            <c:strRef>
              <c:f>'comparators (5)'!$A$40:$A$46</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(5)'!$E$40:$E$46</c:f>
              <c:numCache>
                <c:formatCode>General</c:formatCode>
                <c:ptCount val="6"/>
                <c:pt idx="0">
                  <c:v>3</c:v>
                </c:pt>
                <c:pt idx="1">
                  <c:v>0</c:v>
                </c:pt>
                <c:pt idx="2">
                  <c:v>0</c:v>
                </c:pt>
                <c:pt idx="3">
                  <c:v>173</c:v>
                </c:pt>
                <c:pt idx="4">
                  <c:v>0</c:v>
                </c:pt>
                <c:pt idx="5">
                  <c:v>0</c:v>
                </c:pt>
              </c:numCache>
            </c:numRef>
          </c:val>
        </c:ser>
        <c:ser>
          <c:idx val="4"/>
          <c:order val="4"/>
          <c:tx>
            <c:strRef>
              <c:f>'comparators (5)'!$F$37:$F$39</c:f>
              <c:strCache>
                <c:ptCount val="1"/>
                <c:pt idx="0">
                  <c:v>2017-18 - AUGUST</c:v>
                </c:pt>
              </c:strCache>
            </c:strRef>
          </c:tx>
          <c:invertIfNegative val="0"/>
          <c:cat>
            <c:strRef>
              <c:f>'comparators (5)'!$A$40:$A$46</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(5)'!$F$40:$F$46</c:f>
              <c:numCache>
                <c:formatCode>General</c:formatCode>
                <c:ptCount val="6"/>
                <c:pt idx="0">
                  <c:v>2</c:v>
                </c:pt>
                <c:pt idx="1">
                  <c:v>28</c:v>
                </c:pt>
                <c:pt idx="2">
                  <c:v>0</c:v>
                </c:pt>
                <c:pt idx="3">
                  <c:v>229</c:v>
                </c:pt>
                <c:pt idx="4">
                  <c:v>0</c:v>
                </c:pt>
                <c:pt idx="5">
                  <c:v>0</c:v>
                </c:pt>
              </c:numCache>
            </c:numRef>
          </c:val>
        </c:ser>
        <c:ser>
          <c:idx val="5"/>
          <c:order val="5"/>
          <c:tx>
            <c:strRef>
              <c:f>'comparators (5)'!$G$37:$G$39</c:f>
              <c:strCache>
                <c:ptCount val="1"/>
                <c:pt idx="0">
                  <c:v>2017-18 - SEPTEMBER</c:v>
                </c:pt>
              </c:strCache>
            </c:strRef>
          </c:tx>
          <c:invertIfNegative val="0"/>
          <c:cat>
            <c:strRef>
              <c:f>'comparators (5)'!$A$40:$A$46</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(5)'!$G$40:$G$46</c:f>
              <c:numCache>
                <c:formatCode>General</c:formatCode>
                <c:ptCount val="6"/>
                <c:pt idx="0">
                  <c:v>9</c:v>
                </c:pt>
                <c:pt idx="1">
                  <c:v>0</c:v>
                </c:pt>
                <c:pt idx="2">
                  <c:v>0</c:v>
                </c:pt>
                <c:pt idx="3">
                  <c:v>208</c:v>
                </c:pt>
                <c:pt idx="4">
                  <c:v>0</c:v>
                </c:pt>
                <c:pt idx="5">
                  <c:v>0</c:v>
                </c:pt>
              </c:numCache>
            </c:numRef>
          </c:val>
        </c:ser>
        <c:ser>
          <c:idx val="6"/>
          <c:order val="6"/>
          <c:tx>
            <c:strRef>
              <c:f>'comparators (5)'!$H$37:$H$39</c:f>
              <c:strCache>
                <c:ptCount val="1"/>
                <c:pt idx="0">
                  <c:v>2017-18 - OCTOBER</c:v>
                </c:pt>
              </c:strCache>
            </c:strRef>
          </c:tx>
          <c:invertIfNegative val="0"/>
          <c:cat>
            <c:strRef>
              <c:f>'comparators (5)'!$A$40:$A$46</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(5)'!$H$40:$H$46</c:f>
              <c:numCache>
                <c:formatCode>General</c:formatCode>
                <c:ptCount val="6"/>
                <c:pt idx="0">
                  <c:v>14</c:v>
                </c:pt>
                <c:pt idx="1">
                  <c:v>0</c:v>
                </c:pt>
                <c:pt idx="2">
                  <c:v>0</c:v>
                </c:pt>
                <c:pt idx="3">
                  <c:v>237</c:v>
                </c:pt>
                <c:pt idx="4">
                  <c:v>0</c:v>
                </c:pt>
                <c:pt idx="5">
                  <c:v>0</c:v>
                </c:pt>
              </c:numCache>
            </c:numRef>
          </c:val>
        </c:ser>
        <c:ser>
          <c:idx val="7"/>
          <c:order val="7"/>
          <c:tx>
            <c:strRef>
              <c:f>'comparators (5)'!$I$37:$I$39</c:f>
              <c:strCache>
                <c:ptCount val="1"/>
                <c:pt idx="0">
                  <c:v>2017-18 - NOVEMBER</c:v>
                </c:pt>
              </c:strCache>
            </c:strRef>
          </c:tx>
          <c:invertIfNegative val="0"/>
          <c:cat>
            <c:strRef>
              <c:f>'comparators (5)'!$A$40:$A$46</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(5)'!$I$40:$I$46</c:f>
              <c:numCache>
                <c:formatCode>General</c:formatCode>
                <c:ptCount val="6"/>
                <c:pt idx="0">
                  <c:v>17</c:v>
                </c:pt>
                <c:pt idx="1">
                  <c:v>0</c:v>
                </c:pt>
                <c:pt idx="2">
                  <c:v>0</c:v>
                </c:pt>
                <c:pt idx="3">
                  <c:v>150</c:v>
                </c:pt>
                <c:pt idx="4">
                  <c:v>0</c:v>
                </c:pt>
                <c:pt idx="5">
                  <c:v>14</c:v>
                </c:pt>
              </c:numCache>
            </c:numRef>
          </c:val>
        </c:ser>
        <c:ser>
          <c:idx val="8"/>
          <c:order val="8"/>
          <c:tx>
            <c:strRef>
              <c:f>'comparators (5)'!$J$37:$J$39</c:f>
              <c:strCache>
                <c:ptCount val="1"/>
                <c:pt idx="0">
                  <c:v>2017-18 - DECEMBER</c:v>
                </c:pt>
              </c:strCache>
            </c:strRef>
          </c:tx>
          <c:invertIfNegative val="0"/>
          <c:cat>
            <c:strRef>
              <c:f>'comparators (5)'!$A$40:$A$46</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(5)'!$J$40:$J$46</c:f>
              <c:numCache>
                <c:formatCode>General</c:formatCode>
                <c:ptCount val="6"/>
                <c:pt idx="0">
                  <c:v>22</c:v>
                </c:pt>
                <c:pt idx="1">
                  <c:v>0</c:v>
                </c:pt>
                <c:pt idx="2">
                  <c:v>0</c:v>
                </c:pt>
                <c:pt idx="3">
                  <c:v>142</c:v>
                </c:pt>
                <c:pt idx="4">
                  <c:v>0</c:v>
                </c:pt>
                <c:pt idx="5">
                  <c:v>0</c:v>
                </c:pt>
              </c:numCache>
            </c:numRef>
          </c:val>
        </c:ser>
        <c:ser>
          <c:idx val="9"/>
          <c:order val="9"/>
          <c:tx>
            <c:strRef>
              <c:f>'comparators (5)'!$K$37:$K$39</c:f>
              <c:strCache>
                <c:ptCount val="1"/>
                <c:pt idx="0">
                  <c:v>2017-18 - JANUARY</c:v>
                </c:pt>
              </c:strCache>
            </c:strRef>
          </c:tx>
          <c:invertIfNegative val="0"/>
          <c:cat>
            <c:strRef>
              <c:f>'comparators (5)'!$A$40:$A$46</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(5)'!$K$40:$K$46</c:f>
              <c:numCache>
                <c:formatCode>General</c:formatCode>
                <c:ptCount val="6"/>
                <c:pt idx="0">
                  <c:v>10</c:v>
                </c:pt>
                <c:pt idx="1">
                  <c:v>0</c:v>
                </c:pt>
                <c:pt idx="2">
                  <c:v>0</c:v>
                </c:pt>
                <c:pt idx="3">
                  <c:v>101</c:v>
                </c:pt>
                <c:pt idx="4">
                  <c:v>0</c:v>
                </c:pt>
                <c:pt idx="5">
                  <c:v>0</c:v>
                </c:pt>
              </c:numCache>
            </c:numRef>
          </c:val>
        </c:ser>
        <c:ser>
          <c:idx val="10"/>
          <c:order val="10"/>
          <c:tx>
            <c:strRef>
              <c:f>'comparators (5)'!$L$37:$L$39</c:f>
              <c:strCache>
                <c:ptCount val="1"/>
                <c:pt idx="0">
                  <c:v>2017-18 - FEBRUARY</c:v>
                </c:pt>
              </c:strCache>
            </c:strRef>
          </c:tx>
          <c:invertIfNegative val="0"/>
          <c:cat>
            <c:strRef>
              <c:f>'comparators (5)'!$A$40:$A$46</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(5)'!$L$40:$L$46</c:f>
              <c:numCache>
                <c:formatCode>General</c:formatCode>
                <c:ptCount val="6"/>
                <c:pt idx="0">
                  <c:v>15</c:v>
                </c:pt>
                <c:pt idx="1">
                  <c:v>0</c:v>
                </c:pt>
                <c:pt idx="2">
                  <c:v>0</c:v>
                </c:pt>
                <c:pt idx="3">
                  <c:v>41</c:v>
                </c:pt>
                <c:pt idx="4">
                  <c:v>0</c:v>
                </c:pt>
                <c:pt idx="5">
                  <c:v>35</c:v>
                </c:pt>
              </c:numCache>
            </c:numRef>
          </c:val>
        </c:ser>
        <c:ser>
          <c:idx val="11"/>
          <c:order val="11"/>
          <c:tx>
            <c:strRef>
              <c:f>'comparators (5)'!$M$37:$M$39</c:f>
              <c:strCache>
                <c:ptCount val="1"/>
                <c:pt idx="0">
                  <c:v>2017-18 - MARCH</c:v>
                </c:pt>
              </c:strCache>
            </c:strRef>
          </c:tx>
          <c:invertIfNegative val="0"/>
          <c:cat>
            <c:strRef>
              <c:f>'comparators (5)'!$A$40:$A$46</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(5)'!$M$40:$M$46</c:f>
              <c:numCache>
                <c:formatCode>General</c:formatCode>
                <c:ptCount val="6"/>
                <c:pt idx="0">
                  <c:v>2</c:v>
                </c:pt>
                <c:pt idx="1">
                  <c:v>0</c:v>
                </c:pt>
                <c:pt idx="2">
                  <c:v>0</c:v>
                </c:pt>
                <c:pt idx="3">
                  <c:v>42</c:v>
                </c:pt>
                <c:pt idx="4">
                  <c:v>0</c:v>
                </c:pt>
                <c:pt idx="5">
                  <c:v>0</c:v>
                </c:pt>
              </c:numCache>
            </c:numRef>
          </c:val>
        </c:ser>
        <c:ser>
          <c:idx val="12"/>
          <c:order val="12"/>
          <c:tx>
            <c:strRef>
              <c:f>'comparators (5)'!$N$37:$N$39</c:f>
              <c:strCache>
                <c:ptCount val="1"/>
                <c:pt idx="0">
                  <c:v>2018-19 - APRIL</c:v>
                </c:pt>
              </c:strCache>
            </c:strRef>
          </c:tx>
          <c:invertIfNegative val="0"/>
          <c:cat>
            <c:strRef>
              <c:f>'comparators (5)'!$A$40:$A$46</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(5)'!$N$40:$N$46</c:f>
              <c:numCache>
                <c:formatCode>General</c:formatCode>
                <c:ptCount val="6"/>
                <c:pt idx="0">
                  <c:v>9</c:v>
                </c:pt>
                <c:pt idx="1">
                  <c:v>0</c:v>
                </c:pt>
                <c:pt idx="2">
                  <c:v>0</c:v>
                </c:pt>
                <c:pt idx="3">
                  <c:v>36</c:v>
                </c:pt>
                <c:pt idx="4">
                  <c:v>0</c:v>
                </c:pt>
                <c:pt idx="5">
                  <c:v>22</c:v>
                </c:pt>
              </c:numCache>
            </c:numRef>
          </c:val>
        </c:ser>
        <c:ser>
          <c:idx val="13"/>
          <c:order val="13"/>
          <c:tx>
            <c:strRef>
              <c:f>'comparators (5)'!$O$37:$O$39</c:f>
              <c:strCache>
                <c:ptCount val="1"/>
                <c:pt idx="0">
                  <c:v>2018-19 - MAY</c:v>
                </c:pt>
              </c:strCache>
            </c:strRef>
          </c:tx>
          <c:invertIfNegative val="0"/>
          <c:cat>
            <c:strRef>
              <c:f>'comparators (5)'!$A$40:$A$46</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(5)'!$O$40:$O$46</c:f>
              <c:numCache>
                <c:formatCode>General</c:formatCode>
                <c:ptCount val="6"/>
                <c:pt idx="0">
                  <c:v>3</c:v>
                </c:pt>
                <c:pt idx="1">
                  <c:v>0</c:v>
                </c:pt>
                <c:pt idx="2">
                  <c:v>0</c:v>
                </c:pt>
                <c:pt idx="3">
                  <c:v>37</c:v>
                </c:pt>
                <c:pt idx="4">
                  <c:v>0</c:v>
                </c:pt>
                <c:pt idx="5">
                  <c:v>59</c:v>
                </c:pt>
              </c:numCache>
            </c:numRef>
          </c:val>
        </c:ser>
        <c:ser>
          <c:idx val="14"/>
          <c:order val="14"/>
          <c:tx>
            <c:strRef>
              <c:f>'comparators (5)'!$P$37:$P$39</c:f>
              <c:strCache>
                <c:ptCount val="1"/>
                <c:pt idx="0">
                  <c:v>2018-19 - JUNE</c:v>
                </c:pt>
              </c:strCache>
            </c:strRef>
          </c:tx>
          <c:invertIfNegative val="0"/>
          <c:cat>
            <c:strRef>
              <c:f>'comparators (5)'!$A$40:$A$46</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(5)'!$P$40:$P$46</c:f>
              <c:numCache>
                <c:formatCode>General</c:formatCode>
                <c:ptCount val="6"/>
                <c:pt idx="0">
                  <c:v>0</c:v>
                </c:pt>
                <c:pt idx="1">
                  <c:v>0</c:v>
                </c:pt>
                <c:pt idx="2">
                  <c:v>0</c:v>
                </c:pt>
                <c:pt idx="3">
                  <c:v>63</c:v>
                </c:pt>
                <c:pt idx="4">
                  <c:v>0</c:v>
                </c:pt>
                <c:pt idx="5">
                  <c:v>51</c:v>
                </c:pt>
              </c:numCache>
            </c:numRef>
          </c:val>
        </c:ser>
        <c:ser>
          <c:idx val="15"/>
          <c:order val="15"/>
          <c:tx>
            <c:strRef>
              <c:f>'comparators (5)'!$Q$37:$Q$39</c:f>
              <c:strCache>
                <c:ptCount val="1"/>
                <c:pt idx="0">
                  <c:v>2018-19 - JULY</c:v>
                </c:pt>
              </c:strCache>
            </c:strRef>
          </c:tx>
          <c:invertIfNegative val="0"/>
          <c:cat>
            <c:strRef>
              <c:f>'comparators (5)'!$A$40:$A$46</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(5)'!$Q$40:$Q$46</c:f>
              <c:numCache>
                <c:formatCode>General</c:formatCode>
                <c:ptCount val="6"/>
                <c:pt idx="0">
                  <c:v>4</c:v>
                </c:pt>
                <c:pt idx="1">
                  <c:v>0</c:v>
                </c:pt>
                <c:pt idx="2">
                  <c:v>0</c:v>
                </c:pt>
                <c:pt idx="3">
                  <c:v>16</c:v>
                </c:pt>
                <c:pt idx="4">
                  <c:v>0</c:v>
                </c:pt>
                <c:pt idx="5">
                  <c:v>75</c:v>
                </c:pt>
              </c:numCache>
            </c:numRef>
          </c:val>
        </c:ser>
        <c:ser>
          <c:idx val="16"/>
          <c:order val="16"/>
          <c:tx>
            <c:strRef>
              <c:f>'comparators (5)'!$R$37:$R$39</c:f>
              <c:strCache>
                <c:ptCount val="1"/>
                <c:pt idx="0">
                  <c:v>2018-19 - AUGUST</c:v>
                </c:pt>
              </c:strCache>
            </c:strRef>
          </c:tx>
          <c:invertIfNegative val="0"/>
          <c:dLbls>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'comparators (5)'!$A$40:$A$46</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(5)'!$R$40:$R$46</c:f>
              <c:numCache>
                <c:formatCode>General</c:formatCode>
                <c:ptCount val="6"/>
                <c:pt idx="0">
                  <c:v>12</c:v>
                </c:pt>
                <c:pt idx="1">
                  <c:v>0</c:v>
                </c:pt>
                <c:pt idx="2">
                  <c:v>0</c:v>
                </c:pt>
                <c:pt idx="3">
                  <c:v>98</c:v>
                </c:pt>
                <c:pt idx="4">
                  <c:v>0</c:v>
                </c:pt>
                <c:pt idx="5">
                  <c:v>113</c:v>
                </c:pt>
              </c:numCache>
            </c:numRef>
          </c:val>
        </c:ser>
        <c:dLbls>
          <c:showLegendKey val="0"/>
          <c:showVal val="0"/>
          <c:showCatName val="0"/>
          <c:showSerName val="0"/>
          <c:showPercent val="0"/>
          <c:showBubbleSize val="0"/>
        </c:dLbls>
        <c:gapWidth val="150"/>
        <c:axId val="344009248"/>
        <c:axId val="347631200"/>
      </c:barChart>
      <c:catAx>
        <c:axId val="344009248"/>
        <c:scaling>
          <c:orientation val="minMax"/>
        </c:scaling>
        <c:delete val="0"/>
        <c:axPos val="b"/>
        <c:numFmt formatCode="General" sourceLinked="0"/>
        <c:majorTickMark val="out"/>
        <c:minorTickMark val="none"/>
        <c:tickLblPos val="nextTo"/>
        <c:txPr>
          <a:bodyPr/>
          <a:lstStyle/>
          <a:p>
            <a:pPr>
              <a:defRPr sz="800" baseline="0"/>
            </a:pPr>
            <a:endParaRPr lang="en-US"/>
          </a:p>
        </c:txPr>
        <c:crossAx val="347631200"/>
        <c:crosses val="autoZero"/>
        <c:auto val="1"/>
        <c:lblAlgn val="ctr"/>
        <c:lblOffset val="100"/>
        <c:noMultiLvlLbl val="0"/>
      </c:catAx>
      <c:valAx>
        <c:axId val="347631200"/>
        <c:scaling>
          <c:orientation val="minMax"/>
        </c:scaling>
        <c:delete val="0"/>
        <c:axPos val="l"/>
        <c:majorGridlines/>
        <c:numFmt formatCode="General" sourceLinked="1"/>
        <c:majorTickMark val="out"/>
        <c:minorTickMark val="none"/>
        <c:tickLblPos val="nextTo"/>
        <c:crossAx val="344009248"/>
        <c:crosses val="autoZero"/>
        <c:crossBetween val="between"/>
      </c:valAx>
    </c:plotArea>
    <c:legend>
      <c:legendPos val="b"/>
      <c:overlay val="0"/>
      <c:txPr>
        <a:bodyPr/>
        <a:lstStyle/>
        <a:p>
          <a:pPr>
            <a:defRPr sz="800" baseline="0"/>
          </a:pPr>
          <a:endParaRPr lang="en-US"/>
        </a:p>
      </c:txPr>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Lancashire</a:t>
            </a:r>
            <a:r>
              <a:rPr lang="en-GB" sz="1200" b="1" baseline="0"/>
              <a:t> </a:t>
            </a:r>
            <a:r>
              <a:rPr lang="en-GB" sz="1200" b="1"/>
              <a:t>Total DToC Bed Days Trend and 2018/19 Expectations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Total!$C$13</c:f>
              <c:strCache>
                <c:ptCount val="1"/>
                <c:pt idx="0">
                  <c:v>Sum of Total DTOC Beds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cat>
            <c:multiLvlStrRef>
              <c:f>Total!$A$14:$B$43</c:f>
              <c:multiLvlStrCache>
                <c:ptCount val="21"/>
                <c:lvl>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pt idx="12">
                    <c:v>JANUARY</c:v>
                  </c:pt>
                  <c:pt idx="13">
                    <c:v>FEBRUARY</c:v>
                  </c:pt>
                  <c:pt idx="14">
                    <c:v>MARCH</c:v>
                  </c:pt>
                  <c:pt idx="15">
                    <c:v>APRIL</c:v>
                  </c:pt>
                  <c:pt idx="16">
                    <c:v>MAY</c:v>
                  </c:pt>
                  <c:pt idx="17">
                    <c:v>JUNE</c:v>
                  </c:pt>
                  <c:pt idx="18">
                    <c:v>JULY</c:v>
                  </c:pt>
                  <c:pt idx="19">
                    <c:v>AUGUST</c:v>
                  </c:pt>
                  <c:pt idx="20">
                    <c:v>SEPTEMBER</c:v>
                  </c:pt>
                </c:lvl>
                <c:lvl>
                  <c:pt idx="3">
                    <c:v>2017-18</c:v>
                  </c:pt>
                  <c:pt idx="15">
                    <c:v>2018-19</c:v>
                  </c:pt>
                </c:lvl>
              </c:multiLvlStrCache>
            </c:multiLvlStrRef>
          </c:cat>
          <c:val>
            <c:numRef>
              <c:f>Total!$C$14:$C$43</c:f>
              <c:numCache>
                <c:formatCode>0.0</c:formatCode>
                <c:ptCount val="21"/>
                <c:pt idx="0">
                  <c:v>158.41935483870964</c:v>
                </c:pt>
                <c:pt idx="1">
                  <c:v>144.82142857142861</c:v>
                </c:pt>
                <c:pt idx="2">
                  <c:v>147.25806451612894</c:v>
                </c:pt>
                <c:pt idx="3">
                  <c:v>153.63333333333313</c:v>
                </c:pt>
                <c:pt idx="4">
                  <c:v>154.77419354838673</c:v>
                </c:pt>
                <c:pt idx="5">
                  <c:v>154.76666666666642</c:v>
                </c:pt>
                <c:pt idx="6">
                  <c:v>157.96774193548359</c:v>
                </c:pt>
                <c:pt idx="7">
                  <c:v>141.38709677419322</c:v>
                </c:pt>
                <c:pt idx="8">
                  <c:v>150.36666666666645</c:v>
                </c:pt>
                <c:pt idx="9">
                  <c:v>151.90322580645127</c:v>
                </c:pt>
                <c:pt idx="10">
                  <c:v>151.56666666666641</c:v>
                </c:pt>
                <c:pt idx="11">
                  <c:v>125.90322580645125</c:v>
                </c:pt>
                <c:pt idx="12">
                  <c:v>112.22580645161267</c:v>
                </c:pt>
                <c:pt idx="13">
                  <c:v>121.60714285714258</c:v>
                </c:pt>
                <c:pt idx="14">
                  <c:v>119.83870967741912</c:v>
                </c:pt>
                <c:pt idx="15">
                  <c:v>114.09999999499998</c:v>
                </c:pt>
                <c:pt idx="16">
                  <c:v>101.80645162400002</c:v>
                </c:pt>
                <c:pt idx="17">
                  <c:v>91.933333333333309</c:v>
                </c:pt>
                <c:pt idx="18" formatCode="General">
                  <c:v>93.5</c:v>
                </c:pt>
                <c:pt idx="19" formatCode="General">
                  <c:v>96.3</c:v>
                </c:pt>
              </c:numCache>
            </c:numRef>
          </c:val>
          <c:smooth val="0"/>
        </c:ser>
        <c:ser>
          <c:idx val="1"/>
          <c:order val="1"/>
          <c:tx>
            <c:strRef>
              <c:f>Total!$D$13</c:f>
              <c:strCache>
                <c:ptCount val="1"/>
                <c:pt idx="0">
                  <c:v>2018/19 Total expectations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Total!$A$14:$B$43</c:f>
              <c:multiLvlStrCache>
                <c:ptCount val="21"/>
                <c:lvl>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pt idx="12">
                    <c:v>JANUARY</c:v>
                  </c:pt>
                  <c:pt idx="13">
                    <c:v>FEBRUARY</c:v>
                  </c:pt>
                  <c:pt idx="14">
                    <c:v>MARCH</c:v>
                  </c:pt>
                  <c:pt idx="15">
                    <c:v>APRIL</c:v>
                  </c:pt>
                  <c:pt idx="16">
                    <c:v>MAY</c:v>
                  </c:pt>
                  <c:pt idx="17">
                    <c:v>JUNE</c:v>
                  </c:pt>
                  <c:pt idx="18">
                    <c:v>JULY</c:v>
                  </c:pt>
                  <c:pt idx="19">
                    <c:v>AUGUST</c:v>
                  </c:pt>
                  <c:pt idx="20">
                    <c:v>SEPTEMBER</c:v>
                  </c:pt>
                </c:lvl>
                <c:lvl>
                  <c:pt idx="3">
                    <c:v>2017-18</c:v>
                  </c:pt>
                  <c:pt idx="15">
                    <c:v>2018-19</c:v>
                  </c:pt>
                </c:lvl>
              </c:multiLvlStrCache>
            </c:multiLvlStrRef>
          </c:cat>
          <c:val>
            <c:numRef>
              <c:f>Total!$D$14:$D$43</c:f>
              <c:numCache>
                <c:formatCode>#,##0.0_ ;\-#,##0.0\ </c:formatCode>
                <c:ptCount val="21"/>
                <c:pt idx="0">
                  <c:v>101.77893434782608</c:v>
                </c:pt>
                <c:pt idx="1">
                  <c:v>101.77893434782608</c:v>
                </c:pt>
                <c:pt idx="2">
                  <c:v>101.77893434782608</c:v>
                </c:pt>
                <c:pt idx="3">
                  <c:v>101.77893434782608</c:v>
                </c:pt>
                <c:pt idx="4">
                  <c:v>101.77893434782608</c:v>
                </c:pt>
                <c:pt idx="5">
                  <c:v>101.77893434782608</c:v>
                </c:pt>
                <c:pt idx="6">
                  <c:v>101.77893434782608</c:v>
                </c:pt>
                <c:pt idx="7">
                  <c:v>101.77893434782608</c:v>
                </c:pt>
                <c:pt idx="8">
                  <c:v>101.77893434782608</c:v>
                </c:pt>
                <c:pt idx="9">
                  <c:v>101.77893434782608</c:v>
                </c:pt>
                <c:pt idx="10">
                  <c:v>101.77893434782608</c:v>
                </c:pt>
                <c:pt idx="11">
                  <c:v>101.77893434782608</c:v>
                </c:pt>
                <c:pt idx="12">
                  <c:v>101.77893434782608</c:v>
                </c:pt>
                <c:pt idx="13">
                  <c:v>101.77893434782608</c:v>
                </c:pt>
                <c:pt idx="14">
                  <c:v>101.77893434782608</c:v>
                </c:pt>
                <c:pt idx="15">
                  <c:v>101.77893434782608</c:v>
                </c:pt>
                <c:pt idx="16">
                  <c:v>101.77893434782608</c:v>
                </c:pt>
                <c:pt idx="17">
                  <c:v>101.77893434782608</c:v>
                </c:pt>
                <c:pt idx="18">
                  <c:v>101.77893434782608</c:v>
                </c:pt>
                <c:pt idx="19">
                  <c:v>101.77893434782608</c:v>
                </c:pt>
                <c:pt idx="20">
                  <c:v>101.77893434782608</c:v>
                </c:pt>
              </c:numCache>
            </c:numRef>
          </c:val>
          <c:smooth val="0"/>
        </c:ser>
        <c:dLbls>
          <c:showLegendKey val="0"/>
          <c:showVal val="0"/>
          <c:showCatName val="0"/>
          <c:showSerName val="0"/>
          <c:showPercent val="0"/>
          <c:showBubbleSize val="0"/>
        </c:dLbls>
        <c:marker val="1"/>
        <c:smooth val="0"/>
        <c:axId val="342490272"/>
        <c:axId val="342490664"/>
      </c:lineChart>
      <c:catAx>
        <c:axId val="342490272"/>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490664"/>
        <c:crosses val="autoZero"/>
        <c:auto val="1"/>
        <c:lblAlgn val="ctr"/>
        <c:lblOffset val="100"/>
        <c:noMultiLvlLbl val="0"/>
      </c:catAx>
      <c:valAx>
        <c:axId val="342490664"/>
        <c:scaling>
          <c:orientation val="minMax"/>
        </c:scaling>
        <c:delete val="0"/>
        <c:axPos val="l"/>
        <c:majorGridlines>
          <c:spPr>
            <a:ln w="9525">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4902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Lancashire</a:t>
            </a:r>
            <a:r>
              <a:rPr lang="en-GB" sz="1200" b="1" baseline="0"/>
              <a:t> </a:t>
            </a:r>
            <a:r>
              <a:rPr lang="en-GB" sz="1200" b="1"/>
              <a:t>Social Care DToC Bed Days Trend and 2018/19 Expectations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'Social Care'!$C$13</c:f>
              <c:strCache>
                <c:ptCount val="1"/>
                <c:pt idx="0">
                  <c:v>Sum of Social Care DTOC Beds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cat>
            <c:multiLvlStrRef>
              <c:f>'Social Care'!$A$14:$B$43</c:f>
              <c:multiLvlStrCache>
                <c:ptCount val="21"/>
                <c:lvl>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pt idx="12">
                    <c:v>JANUARY</c:v>
                  </c:pt>
                  <c:pt idx="13">
                    <c:v>FEBRUARY</c:v>
                  </c:pt>
                  <c:pt idx="14">
                    <c:v>MARCH</c:v>
                  </c:pt>
                  <c:pt idx="15">
                    <c:v>APRIL</c:v>
                  </c:pt>
                  <c:pt idx="16">
                    <c:v>MAY</c:v>
                  </c:pt>
                  <c:pt idx="17">
                    <c:v>JUNE</c:v>
                  </c:pt>
                  <c:pt idx="18">
                    <c:v>JULY</c:v>
                  </c:pt>
                  <c:pt idx="19">
                    <c:v>AUGUST</c:v>
                  </c:pt>
                  <c:pt idx="20">
                    <c:v>SEPTEMBER</c:v>
                  </c:pt>
                </c:lvl>
                <c:lvl>
                  <c:pt idx="3">
                    <c:v>2017-18</c:v>
                  </c:pt>
                  <c:pt idx="15">
                    <c:v>2018-19</c:v>
                  </c:pt>
                </c:lvl>
              </c:multiLvlStrCache>
            </c:multiLvlStrRef>
          </c:cat>
          <c:val>
            <c:numRef>
              <c:f>'Social Care'!$C$14:$C$43</c:f>
              <c:numCache>
                <c:formatCode>0.0</c:formatCode>
                <c:ptCount val="21"/>
                <c:pt idx="0">
                  <c:v>42.645161290322569</c:v>
                </c:pt>
                <c:pt idx="1">
                  <c:v>68.035714285714278</c:v>
                </c:pt>
                <c:pt idx="2">
                  <c:v>69.903225806451616</c:v>
                </c:pt>
                <c:pt idx="3">
                  <c:v>71.333333333333243</c:v>
                </c:pt>
                <c:pt idx="4">
                  <c:v>81.64516129032242</c:v>
                </c:pt>
                <c:pt idx="5">
                  <c:v>81.199999999999847</c:v>
                </c:pt>
                <c:pt idx="6">
                  <c:v>91.096774193548171</c:v>
                </c:pt>
                <c:pt idx="7">
                  <c:v>74.387096774193381</c:v>
                </c:pt>
                <c:pt idx="8">
                  <c:v>73.933333333333238</c:v>
                </c:pt>
                <c:pt idx="9">
                  <c:v>60.387096774193459</c:v>
                </c:pt>
                <c:pt idx="10">
                  <c:v>64.53333333333326</c:v>
                </c:pt>
                <c:pt idx="11">
                  <c:v>58.419354838709573</c:v>
                </c:pt>
                <c:pt idx="12">
                  <c:v>52.709677419354712</c:v>
                </c:pt>
                <c:pt idx="13">
                  <c:v>43.42857142857131</c:v>
                </c:pt>
                <c:pt idx="14">
                  <c:v>39.741935483870883</c:v>
                </c:pt>
                <c:pt idx="15">
                  <c:v>33.166666665000001</c:v>
                </c:pt>
                <c:pt idx="16">
                  <c:v>37.000000002</c:v>
                </c:pt>
                <c:pt idx="17">
                  <c:v>36.433333333333401</c:v>
                </c:pt>
                <c:pt idx="18" formatCode="General">
                  <c:v>34</c:v>
                </c:pt>
                <c:pt idx="19" formatCode="General">
                  <c:v>39.700000000000003</c:v>
                </c:pt>
              </c:numCache>
            </c:numRef>
          </c:val>
          <c:smooth val="0"/>
        </c:ser>
        <c:ser>
          <c:idx val="1"/>
          <c:order val="1"/>
          <c:tx>
            <c:strRef>
              <c:f>'Social Care'!$D$13</c:f>
              <c:strCache>
                <c:ptCount val="1"/>
                <c:pt idx="0">
                  <c:v>2018/19 Social Care expectations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'Social Care'!$A$14:$B$43</c:f>
              <c:multiLvlStrCache>
                <c:ptCount val="21"/>
                <c:lvl>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pt idx="12">
                    <c:v>JANUARY</c:v>
                  </c:pt>
                  <c:pt idx="13">
                    <c:v>FEBRUARY</c:v>
                  </c:pt>
                  <c:pt idx="14">
                    <c:v>MARCH</c:v>
                  </c:pt>
                  <c:pt idx="15">
                    <c:v>APRIL</c:v>
                  </c:pt>
                  <c:pt idx="16">
                    <c:v>MAY</c:v>
                  </c:pt>
                  <c:pt idx="17">
                    <c:v>JUNE</c:v>
                  </c:pt>
                  <c:pt idx="18">
                    <c:v>JULY</c:v>
                  </c:pt>
                  <c:pt idx="19">
                    <c:v>AUGUST</c:v>
                  </c:pt>
                  <c:pt idx="20">
                    <c:v>SEPTEMBER</c:v>
                  </c:pt>
                </c:lvl>
                <c:lvl>
                  <c:pt idx="3">
                    <c:v>2017-18</c:v>
                  </c:pt>
                  <c:pt idx="15">
                    <c:v>2018-19</c:v>
                  </c:pt>
                </c:lvl>
              </c:multiLvlStrCache>
            </c:multiLvlStrRef>
          </c:cat>
          <c:val>
            <c:numRef>
              <c:f>'Social Care'!$D$14:$D$43</c:f>
              <c:numCache>
                <c:formatCode>#,##0.0_ ;\-#,##0.0\ </c:formatCode>
                <c:ptCount val="21"/>
                <c:pt idx="0">
                  <c:v>36.645652173913042</c:v>
                </c:pt>
                <c:pt idx="1">
                  <c:v>36.645652173913042</c:v>
                </c:pt>
                <c:pt idx="2">
                  <c:v>36.645652173913042</c:v>
                </c:pt>
                <c:pt idx="3">
                  <c:v>36.645652173913042</c:v>
                </c:pt>
                <c:pt idx="4">
                  <c:v>36.645652173913042</c:v>
                </c:pt>
                <c:pt idx="5">
                  <c:v>36.645652173913042</c:v>
                </c:pt>
                <c:pt idx="6">
                  <c:v>36.645652173913042</c:v>
                </c:pt>
                <c:pt idx="7">
                  <c:v>36.645652173913042</c:v>
                </c:pt>
                <c:pt idx="8">
                  <c:v>36.645652173913042</c:v>
                </c:pt>
                <c:pt idx="9">
                  <c:v>36.645652173913042</c:v>
                </c:pt>
                <c:pt idx="10">
                  <c:v>36.645652173913042</c:v>
                </c:pt>
                <c:pt idx="11">
                  <c:v>36.645652173913042</c:v>
                </c:pt>
                <c:pt idx="12">
                  <c:v>36.645652173913042</c:v>
                </c:pt>
                <c:pt idx="13">
                  <c:v>36.645652173913042</c:v>
                </c:pt>
                <c:pt idx="14">
                  <c:v>36.645652173913042</c:v>
                </c:pt>
                <c:pt idx="15">
                  <c:v>36.645652173913042</c:v>
                </c:pt>
                <c:pt idx="16">
                  <c:v>36.645652173913042</c:v>
                </c:pt>
                <c:pt idx="17">
                  <c:v>36.645652173913042</c:v>
                </c:pt>
                <c:pt idx="18">
                  <c:v>36.645652173913042</c:v>
                </c:pt>
                <c:pt idx="19">
                  <c:v>36.645652173913042</c:v>
                </c:pt>
                <c:pt idx="20">
                  <c:v>36.645652173913042</c:v>
                </c:pt>
              </c:numCache>
            </c:numRef>
          </c:val>
          <c:smooth val="0"/>
        </c:ser>
        <c:dLbls>
          <c:showLegendKey val="0"/>
          <c:showVal val="0"/>
          <c:showCatName val="0"/>
          <c:showSerName val="0"/>
          <c:showPercent val="0"/>
          <c:showBubbleSize val="0"/>
        </c:dLbls>
        <c:marker val="1"/>
        <c:smooth val="0"/>
        <c:axId val="342491448"/>
        <c:axId val="343571744"/>
      </c:lineChart>
      <c:catAx>
        <c:axId val="342491448"/>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3571744"/>
        <c:crosses val="autoZero"/>
        <c:auto val="1"/>
        <c:lblAlgn val="ctr"/>
        <c:lblOffset val="100"/>
        <c:noMultiLvlLbl val="0"/>
      </c:catAx>
      <c:valAx>
        <c:axId val="343571744"/>
        <c:scaling>
          <c:orientation val="minMax"/>
        </c:scaling>
        <c:delete val="0"/>
        <c:axPos val="l"/>
        <c:majorGridlines>
          <c:spPr>
            <a:ln w="9525">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4914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Aug-18 Total DTOC bed days per 100,000 population aged 18+</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4"/>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workings!$A$1177:$A$1199</c:f>
              <c:strCache>
                <c:ptCount val="23"/>
                <c:pt idx="0">
                  <c:v>WIGAN</c:v>
                </c:pt>
                <c:pt idx="1">
                  <c:v>ST HELENS</c:v>
                </c:pt>
                <c:pt idx="2">
                  <c:v>ROCHDALE</c:v>
                </c:pt>
                <c:pt idx="3">
                  <c:v>SALFORD</c:v>
                </c:pt>
                <c:pt idx="4">
                  <c:v>WARRINGTON UA</c:v>
                </c:pt>
                <c:pt idx="5">
                  <c:v>BOLTON</c:v>
                </c:pt>
                <c:pt idx="6">
                  <c:v>WIRRAL</c:v>
                </c:pt>
                <c:pt idx="7">
                  <c:v>OLDHAM</c:v>
                </c:pt>
                <c:pt idx="8">
                  <c:v>LANCASHIRE</c:v>
                </c:pt>
                <c:pt idx="9">
                  <c:v>CHESHIRE EAST</c:v>
                </c:pt>
                <c:pt idx="10">
                  <c:v>CHESHIRE WEST AND CHESTER</c:v>
                </c:pt>
                <c:pt idx="11">
                  <c:v>STOCKPORT</c:v>
                </c:pt>
                <c:pt idx="12">
                  <c:v>BLACKPOOL UA</c:v>
                </c:pt>
                <c:pt idx="13">
                  <c:v>HALTON UA</c:v>
                </c:pt>
                <c:pt idx="14">
                  <c:v>KNOWSLEY</c:v>
                </c:pt>
                <c:pt idx="15">
                  <c:v>BLACKBURN WITH DARWEN UA</c:v>
                </c:pt>
                <c:pt idx="16">
                  <c:v>MANCHESTER</c:v>
                </c:pt>
                <c:pt idx="17">
                  <c:v>LIVERPOOL</c:v>
                </c:pt>
                <c:pt idx="18">
                  <c:v>TAMESIDE</c:v>
                </c:pt>
                <c:pt idx="19">
                  <c:v>SEFTON</c:v>
                </c:pt>
                <c:pt idx="20">
                  <c:v>BURY</c:v>
                </c:pt>
                <c:pt idx="21">
                  <c:v>TRAFFORD</c:v>
                </c:pt>
                <c:pt idx="22">
                  <c:v>CUMBRIA</c:v>
                </c:pt>
              </c:strCache>
            </c:strRef>
          </c:cat>
          <c:val>
            <c:numRef>
              <c:f>workings!$I$1177:$I$1199</c:f>
              <c:numCache>
                <c:formatCode>0.0</c:formatCode>
                <c:ptCount val="23"/>
                <c:pt idx="0">
                  <c:v>3.8220753517503718</c:v>
                </c:pt>
                <c:pt idx="1">
                  <c:v>5.0867034256799846</c:v>
                </c:pt>
                <c:pt idx="2">
                  <c:v>6.3611985522843009</c:v>
                </c:pt>
                <c:pt idx="3">
                  <c:v>6.4458429671649418</c:v>
                </c:pt>
                <c:pt idx="4">
                  <c:v>6.5666066946164365</c:v>
                </c:pt>
                <c:pt idx="5">
                  <c:v>7.0784325954549656</c:v>
                </c:pt>
                <c:pt idx="6">
                  <c:v>7.8909530996903046</c:v>
                </c:pt>
                <c:pt idx="7">
                  <c:v>9.639194961360122</c:v>
                </c:pt>
                <c:pt idx="8">
                  <c:v>10.08995444701724</c:v>
                </c:pt>
                <c:pt idx="9">
                  <c:v>11.348427383403962</c:v>
                </c:pt>
                <c:pt idx="10">
                  <c:v>12.190526853144783</c:v>
                </c:pt>
                <c:pt idx="11">
                  <c:v>12.344242317858447</c:v>
                </c:pt>
                <c:pt idx="12">
                  <c:v>12.658191102511026</c:v>
                </c:pt>
                <c:pt idx="13">
                  <c:v>12.943943942250497</c:v>
                </c:pt>
                <c:pt idx="14">
                  <c:v>13.11190030787858</c:v>
                </c:pt>
                <c:pt idx="15">
                  <c:v>13.387763232075558</c:v>
                </c:pt>
                <c:pt idx="16">
                  <c:v>14.147907131898405</c:v>
                </c:pt>
                <c:pt idx="17">
                  <c:v>15.253956080383329</c:v>
                </c:pt>
                <c:pt idx="18">
                  <c:v>15.364152603826359</c:v>
                </c:pt>
                <c:pt idx="19">
                  <c:v>16.707218759696932</c:v>
                </c:pt>
                <c:pt idx="20">
                  <c:v>16.886964125174899</c:v>
                </c:pt>
                <c:pt idx="21">
                  <c:v>18.68930571806662</c:v>
                </c:pt>
                <c:pt idx="22">
                  <c:v>20.718252359205529</c:v>
                </c:pt>
              </c:numCache>
            </c:numRef>
          </c:val>
        </c:ser>
        <c:dLbls>
          <c:showLegendKey val="0"/>
          <c:showVal val="0"/>
          <c:showCatName val="0"/>
          <c:showSerName val="0"/>
          <c:showPercent val="0"/>
          <c:showBubbleSize val="0"/>
        </c:dLbls>
        <c:gapWidth val="182"/>
        <c:axId val="343572528"/>
        <c:axId val="343572920"/>
      </c:barChart>
      <c:catAx>
        <c:axId val="343572528"/>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3572920"/>
        <c:crosses val="autoZero"/>
        <c:auto val="1"/>
        <c:lblAlgn val="ctr"/>
        <c:lblOffset val="100"/>
        <c:noMultiLvlLbl val="0"/>
      </c:catAx>
      <c:valAx>
        <c:axId val="343572920"/>
        <c:scaling>
          <c:orientation val="minMax"/>
        </c:scaling>
        <c:delete val="0"/>
        <c:axPos val="b"/>
        <c:majorGridlines>
          <c:spPr>
            <a:ln w="9525">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3572528"/>
        <c:crosses val="autoZero"/>
        <c:crossBetween val="between"/>
      </c:valAx>
      <c:spPr>
        <a:noFill/>
        <a:ln>
          <a:noFill/>
        </a:ln>
        <a:effectLst/>
      </c:spPr>
    </c:plotArea>
    <c:plotVisOnly val="1"/>
    <c:dispBlanksAs val="gap"/>
    <c:showDLblsOverMax val="0"/>
  </c:chart>
  <c:spPr>
    <a:solidFill>
      <a:schemeClr val="bg1"/>
    </a:solidFill>
    <a:ln w="9525">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Aug-18 Total DTOC bed days per 100,000 population aged 18+</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4"/>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workings!$A$1208:$A$1223</c:f>
              <c:strCache>
                <c:ptCount val="16"/>
                <c:pt idx="0">
                  <c:v>DERBYSHIRE</c:v>
                </c:pt>
                <c:pt idx="1">
                  <c:v>NOTTINGHAMSHIRE</c:v>
                </c:pt>
                <c:pt idx="2">
                  <c:v>LEICESTERSHIRE</c:v>
                </c:pt>
                <c:pt idx="3">
                  <c:v>GLOUCESTERSHIRE</c:v>
                </c:pt>
                <c:pt idx="4">
                  <c:v>ESSEX</c:v>
                </c:pt>
                <c:pt idx="5">
                  <c:v>LANCASHIRE</c:v>
                </c:pt>
                <c:pt idx="6">
                  <c:v>SUFFOLK</c:v>
                </c:pt>
                <c:pt idx="7">
                  <c:v>WARWICKSHIRE</c:v>
                </c:pt>
                <c:pt idx="8">
                  <c:v>NORFOLK</c:v>
                </c:pt>
                <c:pt idx="9">
                  <c:v>LINCOLNSHIRE</c:v>
                </c:pt>
                <c:pt idx="10">
                  <c:v>KENT</c:v>
                </c:pt>
                <c:pt idx="11">
                  <c:v>WORCESTERSHIRE</c:v>
                </c:pt>
                <c:pt idx="12">
                  <c:v>WEST SUSSEX</c:v>
                </c:pt>
                <c:pt idx="13">
                  <c:v>STAFFORDSHIRE</c:v>
                </c:pt>
                <c:pt idx="14">
                  <c:v>NORTHAMPTONSHIRE</c:v>
                </c:pt>
                <c:pt idx="15">
                  <c:v>CUMBRIA</c:v>
                </c:pt>
              </c:strCache>
            </c:strRef>
          </c:cat>
          <c:val>
            <c:numRef>
              <c:f>workings!$I$1208:$I$1223</c:f>
              <c:numCache>
                <c:formatCode>0.0</c:formatCode>
                <c:ptCount val="16"/>
                <c:pt idx="0">
                  <c:v>5.5238919197579479</c:v>
                </c:pt>
                <c:pt idx="1">
                  <c:v>6.0227053028189541</c:v>
                </c:pt>
                <c:pt idx="2">
                  <c:v>6.9742173774288618</c:v>
                </c:pt>
                <c:pt idx="3">
                  <c:v>8.2779831725981996</c:v>
                </c:pt>
                <c:pt idx="4">
                  <c:v>8.7641690309606783</c:v>
                </c:pt>
                <c:pt idx="5">
                  <c:v>10.08995444701724</c:v>
                </c:pt>
                <c:pt idx="6">
                  <c:v>10.130124304101312</c:v>
                </c:pt>
                <c:pt idx="7">
                  <c:v>10.262040341449328</c:v>
                </c:pt>
                <c:pt idx="8">
                  <c:v>10.629197564407955</c:v>
                </c:pt>
                <c:pt idx="9">
                  <c:v>12.413534731697986</c:v>
                </c:pt>
                <c:pt idx="10">
                  <c:v>12.913327745115906</c:v>
                </c:pt>
                <c:pt idx="11">
                  <c:v>13.144576935379867</c:v>
                </c:pt>
                <c:pt idx="12">
                  <c:v>13.742663612547714</c:v>
                </c:pt>
                <c:pt idx="13">
                  <c:v>14.274822037356282</c:v>
                </c:pt>
                <c:pt idx="14">
                  <c:v>15.283248508096662</c:v>
                </c:pt>
                <c:pt idx="15">
                  <c:v>20.718252359205529</c:v>
                </c:pt>
              </c:numCache>
            </c:numRef>
          </c:val>
        </c:ser>
        <c:dLbls>
          <c:showLegendKey val="0"/>
          <c:showVal val="0"/>
          <c:showCatName val="0"/>
          <c:showSerName val="0"/>
          <c:showPercent val="0"/>
          <c:showBubbleSize val="0"/>
        </c:dLbls>
        <c:gapWidth val="182"/>
        <c:axId val="343574096"/>
        <c:axId val="343574488"/>
      </c:barChart>
      <c:catAx>
        <c:axId val="343574096"/>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3574488"/>
        <c:crosses val="autoZero"/>
        <c:auto val="1"/>
        <c:lblAlgn val="ctr"/>
        <c:lblOffset val="100"/>
        <c:noMultiLvlLbl val="0"/>
      </c:catAx>
      <c:valAx>
        <c:axId val="343574488"/>
        <c:scaling>
          <c:orientation val="minMax"/>
        </c:scaling>
        <c:delete val="0"/>
        <c:axPos val="b"/>
        <c:majorGridlines>
          <c:spPr>
            <a:ln w="9525">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3574096"/>
        <c:crosses val="autoZero"/>
        <c:crossBetween val="between"/>
      </c:valAx>
      <c:spPr>
        <a:noFill/>
        <a:ln>
          <a:noFill/>
        </a:ln>
        <a:effectLst/>
      </c:spPr>
    </c:plotArea>
    <c:plotVisOnly val="1"/>
    <c:dispBlanksAs val="gap"/>
    <c:showDLblsOverMax val="0"/>
  </c:chart>
  <c:spPr>
    <a:solidFill>
      <a:schemeClr val="bg1"/>
    </a:solidFill>
    <a:ln w="9525">
      <a:solidFill>
        <a:schemeClr val="tx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Aug-18 Social Care DTOC bed days per 100,000 pop aged 18+</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4"/>
          <c:order val="0"/>
          <c:tx>
            <c:strRef>
              <c:f>workings!$J$497</c:f>
              <c:strCache>
                <c:ptCount val="1"/>
                <c:pt idx="0">
                  <c:v>social care bed days per 100,000 pop</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workings!$A$1177:$A$1199</c:f>
              <c:strCache>
                <c:ptCount val="23"/>
                <c:pt idx="0">
                  <c:v>ST HELENS</c:v>
                </c:pt>
                <c:pt idx="1">
                  <c:v>ROCHDALE</c:v>
                </c:pt>
                <c:pt idx="2">
                  <c:v>WARRINGTON UA</c:v>
                </c:pt>
                <c:pt idx="3">
                  <c:v>WIGAN</c:v>
                </c:pt>
                <c:pt idx="4">
                  <c:v>SALFORD</c:v>
                </c:pt>
                <c:pt idx="5">
                  <c:v>OLDHAM</c:v>
                </c:pt>
                <c:pt idx="6">
                  <c:v>HALTON UA</c:v>
                </c:pt>
                <c:pt idx="7">
                  <c:v>CHESHIRE WEST AND CHESTER</c:v>
                </c:pt>
                <c:pt idx="8">
                  <c:v>WIRRAL</c:v>
                </c:pt>
                <c:pt idx="9">
                  <c:v>CHESHIRE EAST</c:v>
                </c:pt>
                <c:pt idx="10">
                  <c:v>BOLTON</c:v>
                </c:pt>
                <c:pt idx="11">
                  <c:v>LIVERPOOL</c:v>
                </c:pt>
                <c:pt idx="12">
                  <c:v>LANCASHIRE</c:v>
                </c:pt>
                <c:pt idx="13">
                  <c:v>KNOWSLEY</c:v>
                </c:pt>
                <c:pt idx="14">
                  <c:v>BLACKPOOL UA</c:v>
                </c:pt>
                <c:pt idx="15">
                  <c:v>MANCHESTER</c:v>
                </c:pt>
                <c:pt idx="16">
                  <c:v>SEFTON</c:v>
                </c:pt>
                <c:pt idx="17">
                  <c:v>STOCKPORT</c:v>
                </c:pt>
                <c:pt idx="18">
                  <c:v>BURY</c:v>
                </c:pt>
                <c:pt idx="19">
                  <c:v>BLACKBURN WITH DARWEN UA</c:v>
                </c:pt>
                <c:pt idx="20">
                  <c:v>TRAFFORD</c:v>
                </c:pt>
                <c:pt idx="21">
                  <c:v>CUMBRIA</c:v>
                </c:pt>
                <c:pt idx="22">
                  <c:v>TAMESIDE</c:v>
                </c:pt>
              </c:strCache>
            </c:strRef>
          </c:cat>
          <c:val>
            <c:numRef>
              <c:f>workings!$J$1177:$J$1199</c:f>
              <c:numCache>
                <c:formatCode>0.0</c:formatCode>
                <c:ptCount val="23"/>
                <c:pt idx="0">
                  <c:v>0.56518927022083298</c:v>
                </c:pt>
                <c:pt idx="1">
                  <c:v>0.62060473754140844</c:v>
                </c:pt>
                <c:pt idx="2">
                  <c:v>1.0358040319160537</c:v>
                </c:pt>
                <c:pt idx="3">
                  <c:v>1.6470127335583493</c:v>
                </c:pt>
                <c:pt idx="4">
                  <c:v>1.8463795717388527</c:v>
                </c:pt>
                <c:pt idx="5">
                  <c:v>1.9573844175396415</c:v>
                </c:pt>
                <c:pt idx="6">
                  <c:v>2.34161799933459</c:v>
                </c:pt>
                <c:pt idx="7">
                  <c:v>2.9552792373163115</c:v>
                </c:pt>
                <c:pt idx="8">
                  <c:v>2.9591074122858601</c:v>
                </c:pt>
                <c:pt idx="9">
                  <c:v>3.3853657676923681</c:v>
                </c:pt>
                <c:pt idx="10">
                  <c:v>3.8137467025485332</c:v>
                </c:pt>
                <c:pt idx="11">
                  <c:v>3.8985934508898406</c:v>
                </c:pt>
                <c:pt idx="12">
                  <c:v>4.1658256965678166</c:v>
                </c:pt>
                <c:pt idx="13">
                  <c:v>4.2404443552711237</c:v>
                </c:pt>
                <c:pt idx="14">
                  <c:v>4.5871426469264698</c:v>
                </c:pt>
                <c:pt idx="15">
                  <c:v>6.3403302246658759</c:v>
                </c:pt>
                <c:pt idx="16">
                  <c:v>6.5661558443966976</c:v>
                </c:pt>
                <c:pt idx="17">
                  <c:v>6.589251912261707</c:v>
                </c:pt>
                <c:pt idx="18">
                  <c:v>8.4765074156229741</c:v>
                </c:pt>
                <c:pt idx="19">
                  <c:v>8.8763506761113398</c:v>
                </c:pt>
                <c:pt idx="20">
                  <c:v>8.9859329795219374</c:v>
                </c:pt>
                <c:pt idx="21">
                  <c:v>10.247823212265649</c:v>
                </c:pt>
                <c:pt idx="22">
                  <c:v>11.333604748558525</c:v>
                </c:pt>
              </c:numCache>
            </c:numRef>
          </c:val>
        </c:ser>
        <c:dLbls>
          <c:showLegendKey val="0"/>
          <c:showVal val="0"/>
          <c:showCatName val="0"/>
          <c:showSerName val="0"/>
          <c:showPercent val="0"/>
          <c:showBubbleSize val="0"/>
        </c:dLbls>
        <c:gapWidth val="182"/>
        <c:axId val="343573704"/>
        <c:axId val="343575272"/>
      </c:barChart>
      <c:catAx>
        <c:axId val="343573704"/>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3575272"/>
        <c:crosses val="autoZero"/>
        <c:auto val="1"/>
        <c:lblAlgn val="ctr"/>
        <c:lblOffset val="100"/>
        <c:noMultiLvlLbl val="0"/>
      </c:catAx>
      <c:valAx>
        <c:axId val="343575272"/>
        <c:scaling>
          <c:orientation val="minMax"/>
        </c:scaling>
        <c:delete val="0"/>
        <c:axPos val="b"/>
        <c:majorGridlines>
          <c:spPr>
            <a:ln w="9525">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3573704"/>
        <c:crosses val="autoZero"/>
        <c:crossBetween val="between"/>
      </c:valAx>
      <c:spPr>
        <a:noFill/>
        <a:ln>
          <a:noFill/>
        </a:ln>
        <a:effectLst/>
      </c:spPr>
    </c:plotArea>
    <c:plotVisOnly val="1"/>
    <c:dispBlanksAs val="gap"/>
    <c:showDLblsOverMax val="0"/>
  </c:chart>
  <c:spPr>
    <a:solidFill>
      <a:schemeClr val="bg1"/>
    </a:solidFill>
    <a:ln w="9525">
      <a:solidFill>
        <a:schemeClr val="tx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Aug-18 Social Care DTOC bed days per 100,000 pop aged 18+</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4"/>
          <c:order val="0"/>
          <c:tx>
            <c:strRef>
              <c:f>workings!$J$497</c:f>
              <c:strCache>
                <c:ptCount val="1"/>
                <c:pt idx="0">
                  <c:v>social care bed days per 100,000 pop</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workings!$A$1208:$A$1223</c:f>
              <c:strCache>
                <c:ptCount val="16"/>
                <c:pt idx="0">
                  <c:v>NOTTINGHAMSHIRE</c:v>
                </c:pt>
                <c:pt idx="1">
                  <c:v>LEICESTERSHIRE</c:v>
                </c:pt>
                <c:pt idx="2">
                  <c:v>DERBYSHIRE</c:v>
                </c:pt>
                <c:pt idx="3">
                  <c:v>LINCOLNSHIRE</c:v>
                </c:pt>
                <c:pt idx="4">
                  <c:v>WEST SUSSEX</c:v>
                </c:pt>
                <c:pt idx="5">
                  <c:v>WORCESTERSHIRE</c:v>
                </c:pt>
                <c:pt idx="6">
                  <c:v>ESSEX</c:v>
                </c:pt>
                <c:pt idx="7">
                  <c:v>GLOUCESTERSHIRE</c:v>
                </c:pt>
                <c:pt idx="8">
                  <c:v>KENT</c:v>
                </c:pt>
                <c:pt idx="9">
                  <c:v>LANCASHIRE</c:v>
                </c:pt>
                <c:pt idx="10">
                  <c:v>SUFFOLK</c:v>
                </c:pt>
                <c:pt idx="11">
                  <c:v>WARWICKSHIRE</c:v>
                </c:pt>
                <c:pt idx="12">
                  <c:v>NORFOLK</c:v>
                </c:pt>
                <c:pt idx="13">
                  <c:v>STAFFORDSHIRE</c:v>
                </c:pt>
                <c:pt idx="14">
                  <c:v>NORTHAMPTONSHIRE</c:v>
                </c:pt>
                <c:pt idx="15">
                  <c:v>CUMBRIA</c:v>
                </c:pt>
              </c:strCache>
            </c:strRef>
          </c:cat>
          <c:val>
            <c:numRef>
              <c:f>workings!$J$1208:$J$1223</c:f>
              <c:numCache>
                <c:formatCode>0.0</c:formatCode>
                <c:ptCount val="16"/>
                <c:pt idx="0">
                  <c:v>4.4502748593589533E-2</c:v>
                </c:pt>
                <c:pt idx="1">
                  <c:v>0.50859757938535932</c:v>
                </c:pt>
                <c:pt idx="2">
                  <c:v>1.2976601676092205</c:v>
                </c:pt>
                <c:pt idx="3">
                  <c:v>1.4785615490389401</c:v>
                </c:pt>
                <c:pt idx="4">
                  <c:v>2.2136471637764479</c:v>
                </c:pt>
                <c:pt idx="5">
                  <c:v>2.2306778141916541</c:v>
                </c:pt>
                <c:pt idx="6">
                  <c:v>2.5719721935716873</c:v>
                </c:pt>
                <c:pt idx="7">
                  <c:v>3.1412564446705971</c:v>
                </c:pt>
                <c:pt idx="8">
                  <c:v>3.2931897734677231</c:v>
                </c:pt>
                <c:pt idx="9">
                  <c:v>4.1658256965678166</c:v>
                </c:pt>
                <c:pt idx="10">
                  <c:v>4.352161996606382</c:v>
                </c:pt>
                <c:pt idx="11">
                  <c:v>4.7082126425112181</c:v>
                </c:pt>
                <c:pt idx="12">
                  <c:v>5.4430349193055685</c:v>
                </c:pt>
                <c:pt idx="13">
                  <c:v>6.0619736854777804</c:v>
                </c:pt>
                <c:pt idx="14">
                  <c:v>7.6753869532377053</c:v>
                </c:pt>
                <c:pt idx="15">
                  <c:v>10.247823212265649</c:v>
                </c:pt>
              </c:numCache>
            </c:numRef>
          </c:val>
        </c:ser>
        <c:dLbls>
          <c:showLegendKey val="0"/>
          <c:showVal val="0"/>
          <c:showCatName val="0"/>
          <c:showSerName val="0"/>
          <c:showPercent val="0"/>
          <c:showBubbleSize val="0"/>
        </c:dLbls>
        <c:gapWidth val="182"/>
        <c:axId val="343337136"/>
        <c:axId val="343337528"/>
      </c:barChart>
      <c:catAx>
        <c:axId val="343337136"/>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3337528"/>
        <c:crosses val="autoZero"/>
        <c:auto val="1"/>
        <c:lblAlgn val="ctr"/>
        <c:lblOffset val="100"/>
        <c:noMultiLvlLbl val="0"/>
      </c:catAx>
      <c:valAx>
        <c:axId val="343337528"/>
        <c:scaling>
          <c:orientation val="minMax"/>
        </c:scaling>
        <c:delete val="0"/>
        <c:axPos val="b"/>
        <c:majorGridlines>
          <c:spPr>
            <a:ln w="9525">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3337136"/>
        <c:crosses val="autoZero"/>
        <c:crossBetween val="between"/>
      </c:valAx>
      <c:spPr>
        <a:noFill/>
        <a:ln>
          <a:noFill/>
        </a:ln>
        <a:effectLst/>
      </c:spPr>
    </c:plotArea>
    <c:plotVisOnly val="1"/>
    <c:dispBlanksAs val="gap"/>
    <c:showDLblsOverMax val="0"/>
  </c:chart>
  <c:spPr>
    <a:solidFill>
      <a:schemeClr val="bg1"/>
    </a:solidFill>
    <a:ln w="9525">
      <a:solidFill>
        <a:schemeClr val="tx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[DTOC 2016_17 to 2018_19 revised1.xlsx]comparators (4)!PivotTable2</c:name>
    <c:fmtId val="451"/>
  </c:pivotSource>
  <c:chart>
    <c:title>
      <c:tx>
        <c:rich>
          <a:bodyPr/>
          <a:lstStyle/>
          <a:p>
            <a:pPr>
              <a:defRPr/>
            </a:pPr>
            <a:r>
              <a:rPr lang="en-GB" sz="1200" b="1" i="0" baseline="0">
                <a:effectLst/>
              </a:rPr>
              <a:t>Provider delayed days attributable to social care - L</a:t>
            </a:r>
            <a:r>
              <a:rPr lang="en-GB" sz="1200" b="1" i="0" u="none" strike="noStrike" baseline="0">
                <a:effectLst/>
              </a:rPr>
              <a:t>ancashire residents </a:t>
            </a:r>
            <a:r>
              <a:rPr lang="en-GB" sz="1200" b="1" i="0" baseline="0">
                <a:effectLst/>
              </a:rPr>
              <a:t> </a:t>
            </a:r>
            <a:endParaRPr lang="en-GB" sz="1200">
              <a:effectLst/>
            </a:endParaRPr>
          </a:p>
        </c:rich>
      </c:tx>
      <c:layout>
        <c:manualLayout>
          <c:xMode val="edge"/>
          <c:yMode val="edge"/>
          <c:x val="0.12082039911308204"/>
          <c:y val="3.4046167838170195E-2"/>
        </c:manualLayout>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pivotFmt>
      <c:pivotFmt>
        <c:idx val="61"/>
        <c:marker>
          <c:symbol val="none"/>
        </c:marker>
      </c:pivotFmt>
      <c:pivotFmt>
        <c:idx val="62"/>
        <c:marker>
          <c:symbol val="none"/>
        </c:marker>
      </c:pivotFmt>
      <c:pivotFmt>
        <c:idx val="63"/>
        <c:marker>
          <c:symbol val="none"/>
        </c:marker>
      </c:pivotFmt>
      <c:pivotFmt>
        <c:idx val="64"/>
        <c:marker>
          <c:symbol val="none"/>
        </c:marker>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pivotFmt>
      <c:pivotFmt>
        <c:idx val="76"/>
        <c:marker>
          <c:symbol val="none"/>
        </c:marker>
      </c:pivotFmt>
      <c:pivotFmt>
        <c:idx val="77"/>
        <c:marker>
          <c:symbol val="none"/>
        </c:marker>
      </c:pivotFmt>
      <c:pivotFmt>
        <c:idx val="78"/>
        <c:marker>
          <c:symbol val="none"/>
        </c:marker>
      </c:pivotFmt>
      <c:pivotFmt>
        <c:idx val="79"/>
        <c:marker>
          <c:symbol val="none"/>
        </c:marker>
      </c:pivotFmt>
      <c:pivotFmt>
        <c:idx val="80"/>
        <c:marker>
          <c:symbol val="none"/>
        </c:marker>
      </c:pivotFmt>
      <c:pivotFmt>
        <c:idx val="81"/>
        <c:marker>
          <c:symbol val="none"/>
        </c:marker>
      </c:pivotFmt>
      <c:pivotFmt>
        <c:idx val="82"/>
        <c:marker>
          <c:symbol val="none"/>
        </c:marker>
      </c:pivotFmt>
      <c:pivotFmt>
        <c:idx val="83"/>
        <c:marker>
          <c:symbol val="none"/>
        </c:marker>
      </c:pivotFmt>
      <c:pivotFmt>
        <c:idx val="84"/>
        <c:marker>
          <c:symbol val="none"/>
        </c:marker>
      </c:pivotFmt>
      <c:pivotFmt>
        <c:idx val="85"/>
        <c:marker>
          <c:symbol val="none"/>
        </c:marker>
      </c:pivotFmt>
      <c:pivotFmt>
        <c:idx val="86"/>
        <c:marker>
          <c:symbol val="none"/>
        </c:marker>
      </c:pivotFmt>
      <c:pivotFmt>
        <c:idx val="87"/>
        <c:marker>
          <c:symbol val="none"/>
        </c:marker>
      </c:pivotFmt>
      <c:pivotFmt>
        <c:idx val="88"/>
        <c:marker>
          <c:symbol val="none"/>
        </c:marker>
      </c:pivotFmt>
      <c:pivotFmt>
        <c:idx val="89"/>
        <c:marker>
          <c:symbol val="none"/>
        </c:marker>
      </c:pivotFmt>
      <c:pivotFmt>
        <c:idx val="90"/>
        <c:marker>
          <c:symbol val="none"/>
        </c:marker>
      </c:pivotFmt>
      <c:pivotFmt>
        <c:idx val="91"/>
        <c:marker>
          <c:symbol val="none"/>
        </c:marker>
      </c:pivotFmt>
      <c:pivotFmt>
        <c:idx val="92"/>
        <c:marker>
          <c:symbol val="none"/>
        </c:marker>
      </c:pivotFmt>
      <c:pivotFmt>
        <c:idx val="93"/>
        <c:marker>
          <c:symbol val="none"/>
        </c:marker>
      </c:pivotFmt>
      <c:pivotFmt>
        <c:idx val="94"/>
        <c:marker>
          <c:symbol val="none"/>
        </c:marker>
      </c:pivotFmt>
      <c:pivotFmt>
        <c:idx val="95"/>
        <c:marker>
          <c:symbol val="none"/>
        </c:marker>
      </c:pivotFmt>
      <c:pivotFmt>
        <c:idx val="96"/>
        <c:marker>
          <c:symbol val="none"/>
        </c:marker>
      </c:pivotFmt>
      <c:pivotFmt>
        <c:idx val="97"/>
        <c:marker>
          <c:symbol val="none"/>
        </c:marker>
      </c:pivotFmt>
      <c:pivotFmt>
        <c:idx val="98"/>
        <c:marker>
          <c:symbol val="none"/>
        </c:marker>
      </c:pivotFmt>
      <c:pivotFmt>
        <c:idx val="99"/>
        <c:marker>
          <c:symbol val="none"/>
        </c:marker>
      </c:pivotFmt>
      <c:pivotFmt>
        <c:idx val="100"/>
        <c:marker>
          <c:symbol val="none"/>
        </c:marker>
      </c:pivotFmt>
      <c:pivotFmt>
        <c:idx val="101"/>
      </c:pivotFmt>
      <c:pivotFmt>
        <c:idx val="102"/>
        <c:marker>
          <c:symbol val="none"/>
        </c:marker>
      </c:pivotFmt>
      <c:pivotFmt>
        <c:idx val="103"/>
        <c:marker>
          <c:symbol val="none"/>
        </c:marker>
      </c:pivotFmt>
      <c:pivotFmt>
        <c:idx val="104"/>
        <c:marker>
          <c:symbol val="none"/>
        </c:marker>
      </c:pivotFmt>
      <c:pivotFmt>
        <c:idx val="105"/>
      </c:pivotFmt>
      <c:pivotFmt>
        <c:idx val="106"/>
      </c:pivotFmt>
      <c:pivotFmt>
        <c:idx val="107"/>
      </c:pivotFmt>
      <c:pivotFmt>
        <c:idx val="108"/>
      </c:pivotFmt>
      <c:pivotFmt>
        <c:idx val="109"/>
      </c:pivotFmt>
      <c:pivotFmt>
        <c:idx val="110"/>
      </c:pivotFmt>
      <c:pivotFmt>
        <c:idx val="111"/>
      </c:pivotFmt>
      <c:pivotFmt>
        <c:idx val="112"/>
      </c:pivotFmt>
      <c:pivotFmt>
        <c:idx val="113"/>
      </c:pivotFmt>
      <c:pivotFmt>
        <c:idx val="114"/>
      </c:pivotFmt>
      <c:pivotFmt>
        <c:idx val="115"/>
      </c:pivotFmt>
      <c:pivotFmt>
        <c:idx val="116"/>
      </c:pivotFmt>
      <c:pivotFmt>
        <c:idx val="117"/>
      </c:pivotFmt>
      <c:pivotFmt>
        <c:idx val="118"/>
      </c:pivotFmt>
      <c:pivotFmt>
        <c:idx val="119"/>
      </c:pivotFmt>
      <c:pivotFmt>
        <c:idx val="120"/>
      </c:pivotFmt>
      <c:pivotFmt>
        <c:idx val="121"/>
      </c:pivotFmt>
      <c:pivotFmt>
        <c:idx val="122"/>
      </c:pivotFmt>
      <c:pivotFmt>
        <c:idx val="123"/>
        <c:marker>
          <c:symbol val="none"/>
        </c:marker>
      </c:pivotFmt>
      <c:pivotFmt>
        <c:idx val="124"/>
        <c:marker>
          <c:symbol val="none"/>
        </c:marker>
      </c:pivotFmt>
      <c:pivotFmt>
        <c:idx val="125"/>
        <c:marker>
          <c:symbol val="none"/>
        </c:marker>
      </c:pivotFmt>
      <c:pivotFmt>
        <c:idx val="126"/>
        <c:marker>
          <c:symbol val="none"/>
        </c:marker>
      </c:pivotFmt>
      <c:pivotFmt>
        <c:idx val="127"/>
        <c:marker>
          <c:symbol val="none"/>
        </c:marker>
      </c:pivotFmt>
      <c:pivotFmt>
        <c:idx val="128"/>
        <c:marker>
          <c:symbol val="none"/>
        </c:marker>
      </c:pivotFmt>
      <c:pivotFmt>
        <c:idx val="129"/>
        <c:marker>
          <c:symbol val="none"/>
        </c:marker>
      </c:pivotFmt>
      <c:pivotFmt>
        <c:idx val="130"/>
      </c:pivotFmt>
      <c:pivotFmt>
        <c:idx val="131"/>
      </c:pivotFmt>
      <c:pivotFmt>
        <c:idx val="132"/>
      </c:pivotFmt>
      <c:pivotFmt>
        <c:idx val="133"/>
      </c:pivotFmt>
      <c:pivotFmt>
        <c:idx val="134"/>
      </c:pivotFmt>
      <c:pivotFmt>
        <c:idx val="135"/>
      </c:pivotFmt>
      <c:pivotFmt>
        <c:idx val="136"/>
      </c:pivotFmt>
      <c:pivotFmt>
        <c:idx val="137"/>
      </c:pivotFmt>
      <c:pivotFmt>
        <c:idx val="138"/>
      </c:pivotFmt>
      <c:pivotFmt>
        <c:idx val="139"/>
        <c:dLbl>
          <c:idx val="0"/>
          <c:delete val="1"/>
          <c:extLst>
            <c:ext xmlns:c15="http://schemas.microsoft.com/office/drawing/2012/chart" uri="{CE6537A1-D6FC-4f65-9D91-7224C49458BB}"/>
          </c:extLst>
        </c:dLbl>
      </c:pivotFmt>
      <c:pivotFmt>
        <c:idx val="140"/>
      </c:pivotFmt>
      <c:pivotFmt>
        <c:idx val="141"/>
      </c:pivotFmt>
      <c:pivotFmt>
        <c:idx val="142"/>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43"/>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44"/>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45"/>
      </c:pivotFmt>
      <c:pivotFmt>
        <c:idx val="146"/>
      </c:pivotFmt>
      <c:pivotFmt>
        <c:idx val="147"/>
      </c:pivotFmt>
      <c:pivotFmt>
        <c:idx val="148"/>
        <c:dLbl>
          <c:idx val="0"/>
          <c:delete val="1"/>
          <c:extLst>
            <c:ext xmlns:c15="http://schemas.microsoft.com/office/drawing/2012/chart" uri="{CE6537A1-D6FC-4f65-9D91-7224C49458BB}"/>
          </c:extLst>
        </c:dLbl>
      </c:pivotFmt>
      <c:pivotFmt>
        <c:idx val="149"/>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50"/>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51"/>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52"/>
      </c:pivotFmt>
      <c:pivotFmt>
        <c:idx val="153"/>
      </c:pivotFmt>
      <c:pivotFmt>
        <c:idx val="154"/>
      </c:pivotFmt>
      <c:pivotFmt>
        <c:idx val="155"/>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56"/>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57"/>
      </c:pivotFmt>
      <c:pivotFmt>
        <c:idx val="158"/>
      </c:pivotFmt>
      <c:pivotFmt>
        <c:idx val="159"/>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60"/>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61"/>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62"/>
      </c:pivotFmt>
      <c:pivotFmt>
        <c:idx val="163"/>
      </c:pivotFmt>
      <c:pivotFmt>
        <c:idx val="164"/>
      </c:pivotFmt>
      <c:pivotFmt>
        <c:idx val="165"/>
        <c:dLbl>
          <c:idx val="0"/>
          <c:delete val="1"/>
          <c:extLst>
            <c:ext xmlns:c15="http://schemas.microsoft.com/office/drawing/2012/chart" uri="{CE6537A1-D6FC-4f65-9D91-7224C49458BB}"/>
          </c:extLst>
        </c:dLbl>
      </c:pivotFmt>
      <c:pivotFmt>
        <c:idx val="166"/>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67"/>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68"/>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69"/>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70"/>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71"/>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72"/>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73"/>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74"/>
      </c:pivotFmt>
      <c:pivotFmt>
        <c:idx val="175"/>
      </c:pivotFmt>
      <c:pivotFmt>
        <c:idx val="176"/>
      </c:pivotFmt>
      <c:pivotFmt>
        <c:idx val="177"/>
      </c:pivotFmt>
      <c:pivotFmt>
        <c:idx val="178"/>
      </c:pivotFmt>
      <c:pivotFmt>
        <c:idx val="179"/>
        <c:dLbl>
          <c:idx val="0"/>
          <c:delete val="1"/>
          <c:extLst>
            <c:ext xmlns:c15="http://schemas.microsoft.com/office/drawing/2012/chart" uri="{CE6537A1-D6FC-4f65-9D91-7224C49458BB}"/>
          </c:extLst>
        </c:dLbl>
      </c:pivotFmt>
      <c:pivotFmt>
        <c:idx val="180"/>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81"/>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82"/>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83"/>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84"/>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85"/>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86"/>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87"/>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88"/>
      </c:pivotFmt>
      <c:pivotFmt>
        <c:idx val="189"/>
      </c:pivotFmt>
    </c:pivotFmts>
    <c:plotArea>
      <c:layout/>
      <c:lineChart>
        <c:grouping val="standard"/>
        <c:varyColors val="0"/>
        <c:ser>
          <c:idx val="0"/>
          <c:order val="0"/>
          <c:tx>
            <c:strRef>
              <c:f>'comparators (4)'!$B$41:$B$42</c:f>
              <c:strCache>
                <c:ptCount val="1"/>
                <c:pt idx="0">
                  <c:v>BLACKPOOL TEACHING HOSPITALS NHS FOUNDATION TRUST</c:v>
                </c:pt>
              </c:strCache>
            </c:strRef>
          </c:tx>
          <c:cat>
            <c:multiLvlStrRef>
              <c:f>'comparators (4)'!$A$43:$A$75</c:f>
              <c:multiLvlStrCache>
                <c:ptCount val="29"/>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pt idx="12">
                    <c:v>APRIL</c:v>
                  </c:pt>
                  <c:pt idx="13">
                    <c:v>MAY</c:v>
                  </c:pt>
                  <c:pt idx="14">
                    <c:v>JUNE</c:v>
                  </c:pt>
                  <c:pt idx="15">
                    <c:v>JULY</c:v>
                  </c:pt>
                  <c:pt idx="16">
                    <c:v>AUGUST</c:v>
                  </c:pt>
                  <c:pt idx="17">
                    <c:v>SEPTEMBER</c:v>
                  </c:pt>
                  <c:pt idx="18">
                    <c:v>OCTOBER</c:v>
                  </c:pt>
                  <c:pt idx="19">
                    <c:v>NOVEMBER</c:v>
                  </c:pt>
                  <c:pt idx="20">
                    <c:v>DECEMBER</c:v>
                  </c:pt>
                  <c:pt idx="21">
                    <c:v>JANUARY</c:v>
                  </c:pt>
                  <c:pt idx="22">
                    <c:v>FEBRUARY</c:v>
                  </c:pt>
                  <c:pt idx="23">
                    <c:v>MARCH</c:v>
                  </c:pt>
                  <c:pt idx="24">
                    <c:v>APRIL</c:v>
                  </c:pt>
                  <c:pt idx="25">
                    <c:v>MAY</c:v>
                  </c:pt>
                  <c:pt idx="26">
                    <c:v>JUNE</c:v>
                  </c:pt>
                  <c:pt idx="27">
                    <c:v>JULY</c:v>
                  </c:pt>
                  <c:pt idx="28">
                    <c:v>AUGUST</c:v>
                  </c:pt>
                </c:lvl>
                <c:lvl>
                  <c:pt idx="0">
                    <c:v>2016-17</c:v>
                  </c:pt>
                  <c:pt idx="12">
                    <c:v>2017-18</c:v>
                  </c:pt>
                  <c:pt idx="24">
                    <c:v>2018-19</c:v>
                  </c:pt>
                </c:lvl>
              </c:multiLvlStrCache>
            </c:multiLvlStrRef>
          </c:cat>
          <c:val>
            <c:numRef>
              <c:f>'comparators (4)'!$B$43:$B$75</c:f>
              <c:numCache>
                <c:formatCode>General</c:formatCode>
                <c:ptCount val="29"/>
                <c:pt idx="0">
                  <c:v>165</c:v>
                </c:pt>
                <c:pt idx="1">
                  <c:v>109</c:v>
                </c:pt>
                <c:pt idx="2">
                  <c:v>216</c:v>
                </c:pt>
                <c:pt idx="3">
                  <c:v>156</c:v>
                </c:pt>
                <c:pt idx="4">
                  <c:v>289</c:v>
                </c:pt>
                <c:pt idx="5">
                  <c:v>460</c:v>
                </c:pt>
                <c:pt idx="6">
                  <c:v>245</c:v>
                </c:pt>
                <c:pt idx="7">
                  <c:v>107</c:v>
                </c:pt>
                <c:pt idx="8">
                  <c:v>227</c:v>
                </c:pt>
                <c:pt idx="9">
                  <c:v>302</c:v>
                </c:pt>
                <c:pt idx="10">
                  <c:v>232</c:v>
                </c:pt>
                <c:pt idx="11">
                  <c:v>197</c:v>
                </c:pt>
                <c:pt idx="12">
                  <c:v>199</c:v>
                </c:pt>
                <c:pt idx="13">
                  <c:v>241</c:v>
                </c:pt>
                <c:pt idx="14">
                  <c:v>139</c:v>
                </c:pt>
                <c:pt idx="15">
                  <c:v>153</c:v>
                </c:pt>
                <c:pt idx="16">
                  <c:v>117</c:v>
                </c:pt>
                <c:pt idx="17">
                  <c:v>234</c:v>
                </c:pt>
                <c:pt idx="18">
                  <c:v>196</c:v>
                </c:pt>
                <c:pt idx="19">
                  <c:v>225</c:v>
                </c:pt>
                <c:pt idx="20">
                  <c:v>230</c:v>
                </c:pt>
                <c:pt idx="21">
                  <c:v>149</c:v>
                </c:pt>
                <c:pt idx="22">
                  <c:v>99</c:v>
                </c:pt>
                <c:pt idx="23">
                  <c:v>169</c:v>
                </c:pt>
                <c:pt idx="24">
                  <c:v>90</c:v>
                </c:pt>
                <c:pt idx="25">
                  <c:v>144</c:v>
                </c:pt>
                <c:pt idx="26">
                  <c:v>161</c:v>
                </c:pt>
                <c:pt idx="27">
                  <c:v>188</c:v>
                </c:pt>
                <c:pt idx="28">
                  <c:v>175</c:v>
                </c:pt>
              </c:numCache>
            </c:numRef>
          </c:val>
          <c:smooth val="0"/>
        </c:ser>
        <c:ser>
          <c:idx val="1"/>
          <c:order val="1"/>
          <c:tx>
            <c:strRef>
              <c:f>'comparators (4)'!$C$41:$C$42</c:f>
              <c:strCache>
                <c:ptCount val="1"/>
                <c:pt idx="0">
                  <c:v>EAST LANCASHIRE HOSPITALS NHS TRUST</c:v>
                </c:pt>
              </c:strCache>
            </c:strRef>
          </c:tx>
          <c:cat>
            <c:multiLvlStrRef>
              <c:f>'comparators (4)'!$A$43:$A$75</c:f>
              <c:multiLvlStrCache>
                <c:ptCount val="29"/>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pt idx="12">
                    <c:v>APRIL</c:v>
                  </c:pt>
                  <c:pt idx="13">
                    <c:v>MAY</c:v>
                  </c:pt>
                  <c:pt idx="14">
                    <c:v>JUNE</c:v>
                  </c:pt>
                  <c:pt idx="15">
                    <c:v>JULY</c:v>
                  </c:pt>
                  <c:pt idx="16">
                    <c:v>AUGUST</c:v>
                  </c:pt>
                  <c:pt idx="17">
                    <c:v>SEPTEMBER</c:v>
                  </c:pt>
                  <c:pt idx="18">
                    <c:v>OCTOBER</c:v>
                  </c:pt>
                  <c:pt idx="19">
                    <c:v>NOVEMBER</c:v>
                  </c:pt>
                  <c:pt idx="20">
                    <c:v>DECEMBER</c:v>
                  </c:pt>
                  <c:pt idx="21">
                    <c:v>JANUARY</c:v>
                  </c:pt>
                  <c:pt idx="22">
                    <c:v>FEBRUARY</c:v>
                  </c:pt>
                  <c:pt idx="23">
                    <c:v>MARCH</c:v>
                  </c:pt>
                  <c:pt idx="24">
                    <c:v>APRIL</c:v>
                  </c:pt>
                  <c:pt idx="25">
                    <c:v>MAY</c:v>
                  </c:pt>
                  <c:pt idx="26">
                    <c:v>JUNE</c:v>
                  </c:pt>
                  <c:pt idx="27">
                    <c:v>JULY</c:v>
                  </c:pt>
                  <c:pt idx="28">
                    <c:v>AUGUST</c:v>
                  </c:pt>
                </c:lvl>
                <c:lvl>
                  <c:pt idx="0">
                    <c:v>2016-17</c:v>
                  </c:pt>
                  <c:pt idx="12">
                    <c:v>2017-18</c:v>
                  </c:pt>
                  <c:pt idx="24">
                    <c:v>2018-19</c:v>
                  </c:pt>
                </c:lvl>
              </c:multiLvlStrCache>
            </c:multiLvlStrRef>
          </c:cat>
          <c:val>
            <c:numRef>
              <c:f>'comparators (4)'!$C$43:$C$75</c:f>
              <c:numCache>
                <c:formatCode>General</c:formatCode>
                <c:ptCount val="29"/>
                <c:pt idx="0">
                  <c:v>80</c:v>
                </c:pt>
                <c:pt idx="1">
                  <c:v>304</c:v>
                </c:pt>
                <c:pt idx="2">
                  <c:v>331</c:v>
                </c:pt>
                <c:pt idx="3">
                  <c:v>288</c:v>
                </c:pt>
                <c:pt idx="4">
                  <c:v>417</c:v>
                </c:pt>
                <c:pt idx="5">
                  <c:v>682</c:v>
                </c:pt>
                <c:pt idx="6">
                  <c:v>628</c:v>
                </c:pt>
                <c:pt idx="7">
                  <c:v>459</c:v>
                </c:pt>
                <c:pt idx="8">
                  <c:v>532</c:v>
                </c:pt>
                <c:pt idx="9">
                  <c:v>630</c:v>
                </c:pt>
                <c:pt idx="10">
                  <c:v>612</c:v>
                </c:pt>
                <c:pt idx="11">
                  <c:v>597</c:v>
                </c:pt>
                <c:pt idx="12">
                  <c:v>461</c:v>
                </c:pt>
                <c:pt idx="13">
                  <c:v>366</c:v>
                </c:pt>
                <c:pt idx="14">
                  <c:v>399</c:v>
                </c:pt>
                <c:pt idx="15">
                  <c:v>283</c:v>
                </c:pt>
                <c:pt idx="16">
                  <c:v>340</c:v>
                </c:pt>
                <c:pt idx="17">
                  <c:v>247</c:v>
                </c:pt>
                <c:pt idx="18">
                  <c:v>108</c:v>
                </c:pt>
                <c:pt idx="19">
                  <c:v>220</c:v>
                </c:pt>
                <c:pt idx="20">
                  <c:v>114</c:v>
                </c:pt>
                <c:pt idx="21">
                  <c:v>66</c:v>
                </c:pt>
                <c:pt idx="22">
                  <c:v>42</c:v>
                </c:pt>
                <c:pt idx="23">
                  <c:v>24</c:v>
                </c:pt>
                <c:pt idx="24">
                  <c:v>30</c:v>
                </c:pt>
                <c:pt idx="25">
                  <c:v>76</c:v>
                </c:pt>
                <c:pt idx="26">
                  <c:v>26</c:v>
                </c:pt>
                <c:pt idx="27">
                  <c:v>103</c:v>
                </c:pt>
                <c:pt idx="28">
                  <c:v>130</c:v>
                </c:pt>
              </c:numCache>
            </c:numRef>
          </c:val>
          <c:smooth val="0"/>
        </c:ser>
        <c:ser>
          <c:idx val="2"/>
          <c:order val="2"/>
          <c:tx>
            <c:strRef>
              <c:f>'comparators (4)'!$D$41:$D$42</c:f>
              <c:strCache>
                <c:ptCount val="1"/>
                <c:pt idx="0">
                  <c:v>LANCASHIRE CARE NHS FOUNDATION TRUST</c:v>
                </c:pt>
              </c:strCache>
            </c:strRef>
          </c:tx>
          <c:cat>
            <c:multiLvlStrRef>
              <c:f>'comparators (4)'!$A$43:$A$75</c:f>
              <c:multiLvlStrCache>
                <c:ptCount val="29"/>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pt idx="12">
                    <c:v>APRIL</c:v>
                  </c:pt>
                  <c:pt idx="13">
                    <c:v>MAY</c:v>
                  </c:pt>
                  <c:pt idx="14">
                    <c:v>JUNE</c:v>
                  </c:pt>
                  <c:pt idx="15">
                    <c:v>JULY</c:v>
                  </c:pt>
                  <c:pt idx="16">
                    <c:v>AUGUST</c:v>
                  </c:pt>
                  <c:pt idx="17">
                    <c:v>SEPTEMBER</c:v>
                  </c:pt>
                  <c:pt idx="18">
                    <c:v>OCTOBER</c:v>
                  </c:pt>
                  <c:pt idx="19">
                    <c:v>NOVEMBER</c:v>
                  </c:pt>
                  <c:pt idx="20">
                    <c:v>DECEMBER</c:v>
                  </c:pt>
                  <c:pt idx="21">
                    <c:v>JANUARY</c:v>
                  </c:pt>
                  <c:pt idx="22">
                    <c:v>FEBRUARY</c:v>
                  </c:pt>
                  <c:pt idx="23">
                    <c:v>MARCH</c:v>
                  </c:pt>
                  <c:pt idx="24">
                    <c:v>APRIL</c:v>
                  </c:pt>
                  <c:pt idx="25">
                    <c:v>MAY</c:v>
                  </c:pt>
                  <c:pt idx="26">
                    <c:v>JUNE</c:v>
                  </c:pt>
                  <c:pt idx="27">
                    <c:v>JULY</c:v>
                  </c:pt>
                  <c:pt idx="28">
                    <c:v>AUGUST</c:v>
                  </c:pt>
                </c:lvl>
                <c:lvl>
                  <c:pt idx="0">
                    <c:v>2016-17</c:v>
                  </c:pt>
                  <c:pt idx="12">
                    <c:v>2017-18</c:v>
                  </c:pt>
                  <c:pt idx="24">
                    <c:v>2018-19</c:v>
                  </c:pt>
                </c:lvl>
              </c:multiLvlStrCache>
            </c:multiLvlStrRef>
          </c:cat>
          <c:val>
            <c:numRef>
              <c:f>'comparators (4)'!$D$43:$D$75</c:f>
              <c:numCache>
                <c:formatCode>General</c:formatCode>
                <c:ptCount val="29"/>
                <c:pt idx="0">
                  <c:v>87</c:v>
                </c:pt>
                <c:pt idx="1">
                  <c:v>111</c:v>
                </c:pt>
                <c:pt idx="2">
                  <c:v>39</c:v>
                </c:pt>
                <c:pt idx="3">
                  <c:v>76</c:v>
                </c:pt>
                <c:pt idx="4">
                  <c:v>31</c:v>
                </c:pt>
                <c:pt idx="5">
                  <c:v>61</c:v>
                </c:pt>
                <c:pt idx="6">
                  <c:v>93</c:v>
                </c:pt>
                <c:pt idx="7">
                  <c:v>33</c:v>
                </c:pt>
                <c:pt idx="8">
                  <c:v>25</c:v>
                </c:pt>
                <c:pt idx="9">
                  <c:v>31</c:v>
                </c:pt>
                <c:pt idx="10">
                  <c:v>30</c:v>
                </c:pt>
                <c:pt idx="11">
                  <c:v>43</c:v>
                </c:pt>
                <c:pt idx="12">
                  <c:v>133</c:v>
                </c:pt>
                <c:pt idx="13">
                  <c:v>146</c:v>
                </c:pt>
                <c:pt idx="14">
                  <c:v>140</c:v>
                </c:pt>
                <c:pt idx="15">
                  <c:v>170</c:v>
                </c:pt>
                <c:pt idx="16">
                  <c:v>157</c:v>
                </c:pt>
                <c:pt idx="17">
                  <c:v>136</c:v>
                </c:pt>
                <c:pt idx="18">
                  <c:v>127</c:v>
                </c:pt>
                <c:pt idx="19">
                  <c:v>120</c:v>
                </c:pt>
                <c:pt idx="20">
                  <c:v>68</c:v>
                </c:pt>
                <c:pt idx="21">
                  <c:v>102</c:v>
                </c:pt>
                <c:pt idx="22">
                  <c:v>46</c:v>
                </c:pt>
                <c:pt idx="23">
                  <c:v>0</c:v>
                </c:pt>
                <c:pt idx="24">
                  <c:v>18</c:v>
                </c:pt>
                <c:pt idx="25">
                  <c:v>31</c:v>
                </c:pt>
                <c:pt idx="26">
                  <c:v>0</c:v>
                </c:pt>
                <c:pt idx="27">
                  <c:v>0</c:v>
                </c:pt>
                <c:pt idx="28">
                  <c:v>0</c:v>
                </c:pt>
              </c:numCache>
            </c:numRef>
          </c:val>
          <c:smooth val="0"/>
        </c:ser>
        <c:ser>
          <c:idx val="3"/>
          <c:order val="3"/>
          <c:tx>
            <c:strRef>
              <c:f>'comparators (4)'!$E$41:$E$42</c:f>
              <c:strCache>
                <c:ptCount val="1"/>
                <c:pt idx="0">
                  <c:v>LANCASHIRE TEACHING HOSPITALS NHS FOUNDATION TRUST</c:v>
                </c:pt>
              </c:strCache>
            </c:strRef>
          </c:tx>
          <c:dLbls>
            <c:dLbl>
              <c:idx val="15"/>
              <c:layout/>
              <c:showLegendKey val="0"/>
              <c:showVal val="1"/>
              <c:showCatName val="0"/>
              <c:showSerName val="0"/>
              <c:showPercent val="0"/>
              <c:showBubbleSize val="0"/>
              <c:extLst>
                <c:ext xmlns:c15="http://schemas.microsoft.com/office/drawing/2012/chart" uri="{CE6537A1-D6FC-4f65-9D91-7224C49458BB}">
                  <c15:layout/>
                </c:ext>
              </c:extLst>
            </c:dLbl>
            <c:dLbl>
              <c:idx val="17"/>
              <c:layout/>
              <c:showLegendKey val="0"/>
              <c:showVal val="1"/>
              <c:showCatName val="0"/>
              <c:showSerName val="0"/>
              <c:showPercent val="0"/>
              <c:showBubbleSize val="0"/>
              <c:extLst>
                <c:ext xmlns:c15="http://schemas.microsoft.com/office/drawing/2012/chart" uri="{CE6537A1-D6FC-4f65-9D91-7224C49458BB}">
                  <c15:layout/>
                </c:ext>
              </c:extLst>
            </c:dLbl>
            <c:dLbl>
              <c:idx val="18"/>
              <c:layout/>
              <c:showLegendKey val="0"/>
              <c:showVal val="1"/>
              <c:showCatName val="0"/>
              <c:showSerName val="0"/>
              <c:showPercent val="0"/>
              <c:showBubbleSize val="0"/>
              <c:extLst>
                <c:ext xmlns:c15="http://schemas.microsoft.com/office/drawing/2012/chart" uri="{CE6537A1-D6FC-4f65-9D91-7224C49458BB}">
                  <c15:layout/>
                </c:ext>
              </c:extLst>
            </c:dLbl>
            <c:dLbl>
              <c:idx val="21"/>
              <c:layout/>
              <c:showLegendKey val="0"/>
              <c:showVal val="1"/>
              <c:showCatName val="0"/>
              <c:showSerName val="0"/>
              <c:showPercent val="0"/>
              <c:showBubbleSize val="0"/>
              <c:extLst>
                <c:ext xmlns:c15="http://schemas.microsoft.com/office/drawing/2012/chart" uri="{CE6537A1-D6FC-4f65-9D91-7224C49458BB}">
                  <c15:layout/>
                </c:ext>
              </c:extLst>
            </c:dLbl>
            <c:dLbl>
              <c:idx val="22"/>
              <c:layout/>
              <c:showLegendKey val="0"/>
              <c:showVal val="1"/>
              <c:showCatName val="0"/>
              <c:showSerName val="0"/>
              <c:showPercent val="0"/>
              <c:showBubbleSize val="0"/>
              <c:extLst>
                <c:ext xmlns:c15="http://schemas.microsoft.com/office/drawing/2012/chart" uri="{CE6537A1-D6FC-4f65-9D91-7224C49458BB}">
                  <c15:layout/>
                </c:ext>
              </c:extLst>
            </c:dLbl>
            <c:dLbl>
              <c:idx val="25"/>
              <c:layout/>
              <c:showLegendKey val="0"/>
              <c:showVal val="1"/>
              <c:showCatName val="0"/>
              <c:showSerName val="0"/>
              <c:showPercent val="0"/>
              <c:showBubbleSize val="0"/>
              <c:extLst>
                <c:ext xmlns:c15="http://schemas.microsoft.com/office/drawing/2012/chart" uri="{CE6537A1-D6FC-4f65-9D91-7224C49458BB}">
                  <c15:layout/>
                </c:ext>
              </c:extLst>
            </c:dLbl>
            <c:dLbl>
              <c:idx val="28"/>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multiLvlStrRef>
              <c:f>'comparators (4)'!$A$43:$A$75</c:f>
              <c:multiLvlStrCache>
                <c:ptCount val="29"/>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pt idx="12">
                    <c:v>APRIL</c:v>
                  </c:pt>
                  <c:pt idx="13">
                    <c:v>MAY</c:v>
                  </c:pt>
                  <c:pt idx="14">
                    <c:v>JUNE</c:v>
                  </c:pt>
                  <c:pt idx="15">
                    <c:v>JULY</c:v>
                  </c:pt>
                  <c:pt idx="16">
                    <c:v>AUGUST</c:v>
                  </c:pt>
                  <c:pt idx="17">
                    <c:v>SEPTEMBER</c:v>
                  </c:pt>
                  <c:pt idx="18">
                    <c:v>OCTOBER</c:v>
                  </c:pt>
                  <c:pt idx="19">
                    <c:v>NOVEMBER</c:v>
                  </c:pt>
                  <c:pt idx="20">
                    <c:v>DECEMBER</c:v>
                  </c:pt>
                  <c:pt idx="21">
                    <c:v>JANUARY</c:v>
                  </c:pt>
                  <c:pt idx="22">
                    <c:v>FEBRUARY</c:v>
                  </c:pt>
                  <c:pt idx="23">
                    <c:v>MARCH</c:v>
                  </c:pt>
                  <c:pt idx="24">
                    <c:v>APRIL</c:v>
                  </c:pt>
                  <c:pt idx="25">
                    <c:v>MAY</c:v>
                  </c:pt>
                  <c:pt idx="26">
                    <c:v>JUNE</c:v>
                  </c:pt>
                  <c:pt idx="27">
                    <c:v>JULY</c:v>
                  </c:pt>
                  <c:pt idx="28">
                    <c:v>AUGUST</c:v>
                  </c:pt>
                </c:lvl>
                <c:lvl>
                  <c:pt idx="0">
                    <c:v>2016-17</c:v>
                  </c:pt>
                  <c:pt idx="12">
                    <c:v>2017-18</c:v>
                  </c:pt>
                  <c:pt idx="24">
                    <c:v>2018-19</c:v>
                  </c:pt>
                </c:lvl>
              </c:multiLvlStrCache>
            </c:multiLvlStrRef>
          </c:cat>
          <c:val>
            <c:numRef>
              <c:f>'comparators (4)'!$E$43:$E$75</c:f>
              <c:numCache>
                <c:formatCode>General</c:formatCode>
                <c:ptCount val="29"/>
                <c:pt idx="0">
                  <c:v>52</c:v>
                </c:pt>
                <c:pt idx="1">
                  <c:v>13</c:v>
                </c:pt>
                <c:pt idx="2">
                  <c:v>5</c:v>
                </c:pt>
                <c:pt idx="3">
                  <c:v>14</c:v>
                </c:pt>
                <c:pt idx="4">
                  <c:v>57</c:v>
                </c:pt>
                <c:pt idx="5">
                  <c:v>62</c:v>
                </c:pt>
                <c:pt idx="6">
                  <c:v>63</c:v>
                </c:pt>
                <c:pt idx="7">
                  <c:v>48</c:v>
                </c:pt>
                <c:pt idx="8">
                  <c:v>248</c:v>
                </c:pt>
                <c:pt idx="9">
                  <c:v>117</c:v>
                </c:pt>
                <c:pt idx="10">
                  <c:v>757</c:v>
                </c:pt>
                <c:pt idx="11">
                  <c:v>1007</c:v>
                </c:pt>
                <c:pt idx="12">
                  <c:v>1104</c:v>
                </c:pt>
                <c:pt idx="13">
                  <c:v>1446</c:v>
                </c:pt>
                <c:pt idx="14">
                  <c:v>1475</c:v>
                </c:pt>
                <c:pt idx="15">
                  <c:v>1982</c:v>
                </c:pt>
                <c:pt idx="16">
                  <c:v>1468</c:v>
                </c:pt>
                <c:pt idx="17">
                  <c:v>1323</c:v>
                </c:pt>
                <c:pt idx="18">
                  <c:v>1093</c:v>
                </c:pt>
                <c:pt idx="19">
                  <c:v>1151</c:v>
                </c:pt>
                <c:pt idx="20">
                  <c:v>1143</c:v>
                </c:pt>
                <c:pt idx="21">
                  <c:v>1052</c:v>
                </c:pt>
                <c:pt idx="22">
                  <c:v>734</c:v>
                </c:pt>
                <c:pt idx="23">
                  <c:v>666</c:v>
                </c:pt>
                <c:pt idx="24">
                  <c:v>658</c:v>
                </c:pt>
                <c:pt idx="25">
                  <c:v>522</c:v>
                </c:pt>
                <c:pt idx="26">
                  <c:v>600</c:v>
                </c:pt>
                <c:pt idx="27">
                  <c:v>544</c:v>
                </c:pt>
                <c:pt idx="28">
                  <c:v>677</c:v>
                </c:pt>
              </c:numCache>
            </c:numRef>
          </c:val>
          <c:smooth val="0"/>
        </c:ser>
        <c:ser>
          <c:idx val="4"/>
          <c:order val="4"/>
          <c:tx>
            <c:strRef>
              <c:f>'comparators (4)'!$F$41:$F$42</c:f>
              <c:strCache>
                <c:ptCount val="1"/>
                <c:pt idx="0">
                  <c:v>SOUTHPORT AND ORMSKIRK HOSPITAL NHS TRUST</c:v>
                </c:pt>
              </c:strCache>
            </c:strRef>
          </c:tx>
          <c:cat>
            <c:multiLvlStrRef>
              <c:f>'comparators (4)'!$A$43:$A$75</c:f>
              <c:multiLvlStrCache>
                <c:ptCount val="29"/>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pt idx="12">
                    <c:v>APRIL</c:v>
                  </c:pt>
                  <c:pt idx="13">
                    <c:v>MAY</c:v>
                  </c:pt>
                  <c:pt idx="14">
                    <c:v>JUNE</c:v>
                  </c:pt>
                  <c:pt idx="15">
                    <c:v>JULY</c:v>
                  </c:pt>
                  <c:pt idx="16">
                    <c:v>AUGUST</c:v>
                  </c:pt>
                  <c:pt idx="17">
                    <c:v>SEPTEMBER</c:v>
                  </c:pt>
                  <c:pt idx="18">
                    <c:v>OCTOBER</c:v>
                  </c:pt>
                  <c:pt idx="19">
                    <c:v>NOVEMBER</c:v>
                  </c:pt>
                  <c:pt idx="20">
                    <c:v>DECEMBER</c:v>
                  </c:pt>
                  <c:pt idx="21">
                    <c:v>JANUARY</c:v>
                  </c:pt>
                  <c:pt idx="22">
                    <c:v>FEBRUARY</c:v>
                  </c:pt>
                  <c:pt idx="23">
                    <c:v>MARCH</c:v>
                  </c:pt>
                  <c:pt idx="24">
                    <c:v>APRIL</c:v>
                  </c:pt>
                  <c:pt idx="25">
                    <c:v>MAY</c:v>
                  </c:pt>
                  <c:pt idx="26">
                    <c:v>JUNE</c:v>
                  </c:pt>
                  <c:pt idx="27">
                    <c:v>JULY</c:v>
                  </c:pt>
                  <c:pt idx="28">
                    <c:v>AUGUST</c:v>
                  </c:pt>
                </c:lvl>
                <c:lvl>
                  <c:pt idx="0">
                    <c:v>2016-17</c:v>
                  </c:pt>
                  <c:pt idx="12">
                    <c:v>2017-18</c:v>
                  </c:pt>
                  <c:pt idx="24">
                    <c:v>2018-19</c:v>
                  </c:pt>
                </c:lvl>
              </c:multiLvlStrCache>
            </c:multiLvlStrRef>
          </c:cat>
          <c:val>
            <c:numRef>
              <c:f>'comparators (4)'!$F$43:$F$75</c:f>
              <c:numCache>
                <c:formatCode>General</c:formatCode>
                <c:ptCount val="29"/>
                <c:pt idx="0">
                  <c:v>0</c:v>
                </c:pt>
                <c:pt idx="1">
                  <c:v>0</c:v>
                </c:pt>
                <c:pt idx="2">
                  <c:v>0</c:v>
                </c:pt>
                <c:pt idx="3">
                  <c:v>0</c:v>
                </c:pt>
                <c:pt idx="4">
                  <c:v>0</c:v>
                </c:pt>
                <c:pt idx="5">
                  <c:v>8</c:v>
                </c:pt>
                <c:pt idx="6">
                  <c:v>6</c:v>
                </c:pt>
                <c:pt idx="7">
                  <c:v>3</c:v>
                </c:pt>
                <c:pt idx="8">
                  <c:v>0</c:v>
                </c:pt>
                <c:pt idx="9">
                  <c:v>5</c:v>
                </c:pt>
                <c:pt idx="10">
                  <c:v>0</c:v>
                </c:pt>
                <c:pt idx="11">
                  <c:v>0</c:v>
                </c:pt>
                <c:pt idx="12">
                  <c:v>0</c:v>
                </c:pt>
                <c:pt idx="13">
                  <c:v>0</c:v>
                </c:pt>
                <c:pt idx="14">
                  <c:v>0</c:v>
                </c:pt>
                <c:pt idx="15">
                  <c:v>0</c:v>
                </c:pt>
                <c:pt idx="16">
                  <c:v>0</c:v>
                </c:pt>
                <c:pt idx="17">
                  <c:v>0</c:v>
                </c:pt>
                <c:pt idx="18">
                  <c:v>4</c:v>
                </c:pt>
                <c:pt idx="19">
                  <c:v>1</c:v>
                </c:pt>
                <c:pt idx="20">
                  <c:v>4</c:v>
                </c:pt>
                <c:pt idx="21">
                  <c:v>4</c:v>
                </c:pt>
                <c:pt idx="22">
                  <c:v>0</c:v>
                </c:pt>
                <c:pt idx="23">
                  <c:v>0</c:v>
                </c:pt>
                <c:pt idx="24">
                  <c:v>0</c:v>
                </c:pt>
                <c:pt idx="25">
                  <c:v>0</c:v>
                </c:pt>
                <c:pt idx="26">
                  <c:v>0</c:v>
                </c:pt>
                <c:pt idx="27">
                  <c:v>4</c:v>
                </c:pt>
                <c:pt idx="28">
                  <c:v>7</c:v>
                </c:pt>
              </c:numCache>
            </c:numRef>
          </c:val>
          <c:smooth val="0"/>
        </c:ser>
        <c:ser>
          <c:idx val="5"/>
          <c:order val="5"/>
          <c:tx>
            <c:strRef>
              <c:f>'comparators (4)'!$G$41:$G$42</c:f>
              <c:strCache>
                <c:ptCount val="1"/>
                <c:pt idx="0">
                  <c:v>UNIVERSITY HOSPITALS OF MORECAMBE BAY NHS FOUNDATION TRUST</c:v>
                </c:pt>
              </c:strCache>
            </c:strRef>
          </c:tx>
          <c:cat>
            <c:multiLvlStrRef>
              <c:f>'comparators (4)'!$A$43:$A$75</c:f>
              <c:multiLvlStrCache>
                <c:ptCount val="29"/>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pt idx="12">
                    <c:v>APRIL</c:v>
                  </c:pt>
                  <c:pt idx="13">
                    <c:v>MAY</c:v>
                  </c:pt>
                  <c:pt idx="14">
                    <c:v>JUNE</c:v>
                  </c:pt>
                  <c:pt idx="15">
                    <c:v>JULY</c:v>
                  </c:pt>
                  <c:pt idx="16">
                    <c:v>AUGUST</c:v>
                  </c:pt>
                  <c:pt idx="17">
                    <c:v>SEPTEMBER</c:v>
                  </c:pt>
                  <c:pt idx="18">
                    <c:v>OCTOBER</c:v>
                  </c:pt>
                  <c:pt idx="19">
                    <c:v>NOVEMBER</c:v>
                  </c:pt>
                  <c:pt idx="20">
                    <c:v>DECEMBER</c:v>
                  </c:pt>
                  <c:pt idx="21">
                    <c:v>JANUARY</c:v>
                  </c:pt>
                  <c:pt idx="22">
                    <c:v>FEBRUARY</c:v>
                  </c:pt>
                  <c:pt idx="23">
                    <c:v>MARCH</c:v>
                  </c:pt>
                  <c:pt idx="24">
                    <c:v>APRIL</c:v>
                  </c:pt>
                  <c:pt idx="25">
                    <c:v>MAY</c:v>
                  </c:pt>
                  <c:pt idx="26">
                    <c:v>JUNE</c:v>
                  </c:pt>
                  <c:pt idx="27">
                    <c:v>JULY</c:v>
                  </c:pt>
                  <c:pt idx="28">
                    <c:v>AUGUST</c:v>
                  </c:pt>
                </c:lvl>
                <c:lvl>
                  <c:pt idx="0">
                    <c:v>2016-17</c:v>
                  </c:pt>
                  <c:pt idx="12">
                    <c:v>2017-18</c:v>
                  </c:pt>
                  <c:pt idx="24">
                    <c:v>2018-19</c:v>
                  </c:pt>
                </c:lvl>
              </c:multiLvlStrCache>
            </c:multiLvlStrRef>
          </c:cat>
          <c:val>
            <c:numRef>
              <c:f>'comparators (4)'!$G$43:$G$75</c:f>
              <c:numCache>
                <c:formatCode>General</c:formatCode>
                <c:ptCount val="29"/>
                <c:pt idx="0">
                  <c:v>89</c:v>
                </c:pt>
                <c:pt idx="1">
                  <c:v>151</c:v>
                </c:pt>
                <c:pt idx="2">
                  <c:v>76</c:v>
                </c:pt>
                <c:pt idx="3">
                  <c:v>94</c:v>
                </c:pt>
                <c:pt idx="4">
                  <c:v>97</c:v>
                </c:pt>
                <c:pt idx="5">
                  <c:v>181</c:v>
                </c:pt>
                <c:pt idx="6">
                  <c:v>82</c:v>
                </c:pt>
                <c:pt idx="7">
                  <c:v>163</c:v>
                </c:pt>
                <c:pt idx="8">
                  <c:v>180</c:v>
                </c:pt>
                <c:pt idx="9">
                  <c:v>146</c:v>
                </c:pt>
                <c:pt idx="10">
                  <c:v>176</c:v>
                </c:pt>
                <c:pt idx="11">
                  <c:v>219</c:v>
                </c:pt>
                <c:pt idx="12">
                  <c:v>131</c:v>
                </c:pt>
                <c:pt idx="13">
                  <c:v>241</c:v>
                </c:pt>
                <c:pt idx="14">
                  <c:v>194</c:v>
                </c:pt>
                <c:pt idx="15">
                  <c:v>147</c:v>
                </c:pt>
                <c:pt idx="16">
                  <c:v>97</c:v>
                </c:pt>
                <c:pt idx="17">
                  <c:v>154</c:v>
                </c:pt>
                <c:pt idx="18">
                  <c:v>202</c:v>
                </c:pt>
                <c:pt idx="19">
                  <c:v>104</c:v>
                </c:pt>
                <c:pt idx="20">
                  <c:v>173</c:v>
                </c:pt>
                <c:pt idx="21">
                  <c:v>154</c:v>
                </c:pt>
                <c:pt idx="22">
                  <c:v>170</c:v>
                </c:pt>
                <c:pt idx="23">
                  <c:v>278</c:v>
                </c:pt>
                <c:pt idx="24">
                  <c:v>127</c:v>
                </c:pt>
                <c:pt idx="25">
                  <c:v>290</c:v>
                </c:pt>
                <c:pt idx="26">
                  <c:v>222</c:v>
                </c:pt>
                <c:pt idx="27">
                  <c:v>160</c:v>
                </c:pt>
                <c:pt idx="28">
                  <c:v>191</c:v>
                </c:pt>
              </c:numCache>
            </c:numRef>
          </c:val>
          <c:smooth val="0"/>
        </c:ser>
        <c:dLbls>
          <c:showLegendKey val="0"/>
          <c:showVal val="0"/>
          <c:showCatName val="0"/>
          <c:showSerName val="0"/>
          <c:showPercent val="0"/>
          <c:showBubbleSize val="0"/>
        </c:dLbls>
        <c:marker val="1"/>
        <c:smooth val="0"/>
        <c:axId val="343338312"/>
        <c:axId val="343338704"/>
      </c:lineChart>
      <c:catAx>
        <c:axId val="343338312"/>
        <c:scaling>
          <c:orientation val="minMax"/>
        </c:scaling>
        <c:delete val="0"/>
        <c:axPos val="b"/>
        <c:numFmt formatCode="General" sourceLinked="0"/>
        <c:majorTickMark val="out"/>
        <c:minorTickMark val="none"/>
        <c:tickLblPos val="nextTo"/>
        <c:txPr>
          <a:bodyPr/>
          <a:lstStyle/>
          <a:p>
            <a:pPr>
              <a:defRPr sz="800" baseline="0"/>
            </a:pPr>
            <a:endParaRPr lang="en-US"/>
          </a:p>
        </c:txPr>
        <c:crossAx val="343338704"/>
        <c:crosses val="autoZero"/>
        <c:auto val="1"/>
        <c:lblAlgn val="ctr"/>
        <c:lblOffset val="100"/>
        <c:noMultiLvlLbl val="0"/>
      </c:catAx>
      <c:valAx>
        <c:axId val="343338704"/>
        <c:scaling>
          <c:orientation val="minMax"/>
          <c:max val="2000"/>
        </c:scaling>
        <c:delete val="0"/>
        <c:axPos val="l"/>
        <c:majorGridlines/>
        <c:numFmt formatCode="General" sourceLinked="1"/>
        <c:majorTickMark val="out"/>
        <c:minorTickMark val="none"/>
        <c:tickLblPos val="nextTo"/>
        <c:crossAx val="343338312"/>
        <c:crosses val="autoZero"/>
        <c:crossBetween val="between"/>
      </c:valAx>
    </c:plotArea>
    <c:legend>
      <c:legendPos val="b"/>
      <c:layout>
        <c:manualLayout>
          <c:xMode val="edge"/>
          <c:yMode val="edge"/>
          <c:x val="5.9099114827941404E-2"/>
          <c:y val="0.83783365023673984"/>
          <c:w val="0.88180177034411722"/>
          <c:h val="0.15117331202049727"/>
        </c:manualLayout>
      </c:layout>
      <c:overlay val="0"/>
      <c:txPr>
        <a:bodyPr/>
        <a:lstStyle/>
        <a:p>
          <a:pPr>
            <a:defRPr sz="600" baseline="0"/>
          </a:pPr>
          <a:endParaRPr lang="en-US"/>
        </a:p>
      </c:txPr>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3F9082-555A-4F24-8FD0-94B742CB3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 Report Template (2).dot</Template>
  <TotalTime>6</TotalTime>
  <Pages>23</Pages>
  <Words>4007</Words>
  <Characters>22843</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26797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Dodd, Marie</dc:creator>
  <cp:lastModifiedBy>Halsall, Gary</cp:lastModifiedBy>
  <cp:revision>4</cp:revision>
  <cp:lastPrinted>2017-10-19T12:48:00Z</cp:lastPrinted>
  <dcterms:created xsi:type="dcterms:W3CDTF">2018-10-23T16:00:00Z</dcterms:created>
  <dcterms:modified xsi:type="dcterms:W3CDTF">2018-10-26T14:23:00Z</dcterms:modified>
</cp:coreProperties>
</file>